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22" w:rsidRPr="00521BA4" w:rsidRDefault="00B20B22" w:rsidP="00C021E0">
      <w:pPr>
        <w:pStyle w:val="ALSG"/>
        <w:rPr>
          <w:rFonts w:ascii="Arial" w:hAnsi="Arial" w:cs="Arial"/>
        </w:rPr>
      </w:pPr>
    </w:p>
    <w:p w:rsidR="00B20B22" w:rsidRPr="00521BA4" w:rsidRDefault="00B20B22" w:rsidP="00B20B22">
      <w:pPr>
        <w:pStyle w:val="Heading1"/>
        <w:rPr>
          <w:rFonts w:ascii="Arial" w:hAnsi="Arial" w:cs="Arial"/>
        </w:rPr>
      </w:pPr>
      <w:r w:rsidRPr="00521BA4">
        <w:rPr>
          <w:rFonts w:ascii="Arial" w:hAnsi="Arial" w:cs="Arial"/>
        </w:rPr>
        <w:t>Skills Teaching</w:t>
      </w:r>
    </w:p>
    <w:p w:rsidR="00B20B22" w:rsidRPr="00521BA4" w:rsidRDefault="00B20B22" w:rsidP="00B20B22">
      <w:pPr>
        <w:jc w:val="center"/>
        <w:rPr>
          <w:rFonts w:ascii="Arial" w:hAnsi="Arial" w:cs="Arial"/>
          <w:b/>
          <w:sz w:val="24"/>
          <w:szCs w:val="24"/>
        </w:rPr>
      </w:pPr>
    </w:p>
    <w:p w:rsidR="00B20B22" w:rsidRPr="00521BA4" w:rsidRDefault="00B20B22" w:rsidP="00B20B22">
      <w:pPr>
        <w:pStyle w:val="ALSGHeading2"/>
        <w:rPr>
          <w:rFonts w:ascii="Arial" w:hAnsi="Arial" w:cs="Arial"/>
        </w:rPr>
      </w:pPr>
      <w:r w:rsidRPr="00521BA4">
        <w:rPr>
          <w:rFonts w:ascii="Arial" w:hAnsi="Arial" w:cs="Arial"/>
        </w:rPr>
        <w:t>By Mike Davis</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Among the many strengths of life support courses is the 4 stage approach to teaching psychomotor skills. The purpose of this short paper is to examine once more the utility of this approach and to emphasise its component elements in order to provoke some discussion about its attributed effectiveness both from a theoretical perspective and from that based on experience.</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The reason for this is a concern that has been expressed by a number of educators and faculty colleagues over recent months: a deterioration in the teaching of the four-stage approach. This concern seems to be widespread. There are a number of explanations made for this: time pressures and better approaches to skills teaching have both been mentioned but I think this might be more a consequence of skill decay – the further away someone is either from their GIC or from regular good practice with other competent colleagues, the more likely that skills will be taught sub-optimally.</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There may be some value in thinking why this approach was adopted by all of the major life support courses. Consider a hierarchy (Simpson, 1966) of psychomotor skills acquisition:</w:t>
      </w:r>
    </w:p>
    <w:p w:rsidR="00B20B22" w:rsidRPr="00521BA4" w:rsidRDefault="00B20B22" w:rsidP="00B20B22">
      <w:pPr>
        <w:rPr>
          <w:rFonts w:ascii="Arial" w:hAnsi="Arial" w:cs="Arial"/>
          <w:sz w:val="24"/>
          <w:szCs w:val="24"/>
        </w:rPr>
      </w:pPr>
    </w:p>
    <w:p w:rsidR="00B20B22" w:rsidRPr="00521BA4" w:rsidRDefault="00B20B22" w:rsidP="00B20B22">
      <w:pPr>
        <w:numPr>
          <w:ilvl w:val="0"/>
          <w:numId w:val="14"/>
        </w:numPr>
        <w:rPr>
          <w:rFonts w:ascii="Arial" w:hAnsi="Arial" w:cs="Arial"/>
          <w:sz w:val="24"/>
          <w:szCs w:val="24"/>
        </w:rPr>
      </w:pPr>
      <w:r w:rsidRPr="00521BA4">
        <w:rPr>
          <w:rFonts w:ascii="Arial" w:hAnsi="Arial" w:cs="Arial"/>
          <w:sz w:val="24"/>
          <w:szCs w:val="24"/>
        </w:rPr>
        <w:t>Perception</w:t>
      </w:r>
    </w:p>
    <w:p w:rsidR="00B20B22" w:rsidRPr="00521BA4" w:rsidRDefault="00B20B22" w:rsidP="00B20B22">
      <w:pPr>
        <w:numPr>
          <w:ilvl w:val="0"/>
          <w:numId w:val="14"/>
        </w:numPr>
        <w:rPr>
          <w:rFonts w:ascii="Arial" w:hAnsi="Arial" w:cs="Arial"/>
          <w:sz w:val="24"/>
          <w:szCs w:val="24"/>
        </w:rPr>
      </w:pPr>
      <w:r w:rsidRPr="00521BA4">
        <w:rPr>
          <w:rFonts w:ascii="Arial" w:hAnsi="Arial" w:cs="Arial"/>
          <w:sz w:val="24"/>
          <w:szCs w:val="24"/>
        </w:rPr>
        <w:t>Guided response</w:t>
      </w:r>
    </w:p>
    <w:p w:rsidR="00B20B22" w:rsidRPr="00521BA4" w:rsidRDefault="00B20B22" w:rsidP="00B20B22">
      <w:pPr>
        <w:numPr>
          <w:ilvl w:val="0"/>
          <w:numId w:val="14"/>
        </w:numPr>
        <w:rPr>
          <w:rFonts w:ascii="Arial" w:hAnsi="Arial" w:cs="Arial"/>
          <w:sz w:val="24"/>
          <w:szCs w:val="24"/>
        </w:rPr>
      </w:pPr>
      <w:r w:rsidRPr="00521BA4">
        <w:rPr>
          <w:rFonts w:ascii="Arial" w:hAnsi="Arial" w:cs="Arial"/>
          <w:sz w:val="24"/>
          <w:szCs w:val="24"/>
        </w:rPr>
        <w:t>Mastery</w:t>
      </w:r>
    </w:p>
    <w:p w:rsidR="00B20B22" w:rsidRPr="00521BA4" w:rsidRDefault="00B20B22" w:rsidP="00B20B22">
      <w:pPr>
        <w:numPr>
          <w:ilvl w:val="0"/>
          <w:numId w:val="14"/>
        </w:numPr>
        <w:rPr>
          <w:rFonts w:ascii="Arial" w:hAnsi="Arial" w:cs="Arial"/>
          <w:sz w:val="24"/>
          <w:szCs w:val="24"/>
        </w:rPr>
      </w:pPr>
      <w:r w:rsidRPr="00521BA4">
        <w:rPr>
          <w:rFonts w:ascii="Arial" w:hAnsi="Arial" w:cs="Arial"/>
          <w:sz w:val="24"/>
          <w:szCs w:val="24"/>
        </w:rPr>
        <w:t>Autonomy</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and how these relate to the novice to expert continuum articulated by Dreyfus and Dreyfus (1986):</w:t>
      </w:r>
    </w:p>
    <w:p w:rsidR="00B20B22" w:rsidRPr="00521BA4" w:rsidRDefault="00B20B22" w:rsidP="00B20B22">
      <w:pPr>
        <w:rPr>
          <w:rFonts w:ascii="Arial" w:hAnsi="Arial" w:cs="Arial"/>
          <w:sz w:val="24"/>
          <w:szCs w:val="24"/>
        </w:rPr>
      </w:pPr>
    </w:p>
    <w:p w:rsidR="00B20B22" w:rsidRPr="00521BA4" w:rsidRDefault="00B20B22" w:rsidP="00B20B22">
      <w:pPr>
        <w:numPr>
          <w:ilvl w:val="0"/>
          <w:numId w:val="15"/>
        </w:numPr>
        <w:rPr>
          <w:rFonts w:ascii="Arial" w:hAnsi="Arial" w:cs="Arial"/>
          <w:sz w:val="24"/>
          <w:szCs w:val="24"/>
        </w:rPr>
      </w:pPr>
      <w:r w:rsidRPr="00521BA4">
        <w:rPr>
          <w:rFonts w:ascii="Arial" w:hAnsi="Arial" w:cs="Arial"/>
          <w:sz w:val="24"/>
          <w:szCs w:val="24"/>
        </w:rPr>
        <w:t>Novice</w:t>
      </w:r>
    </w:p>
    <w:p w:rsidR="00B20B22" w:rsidRPr="00521BA4" w:rsidRDefault="00B20B22" w:rsidP="00B20B22">
      <w:pPr>
        <w:numPr>
          <w:ilvl w:val="0"/>
          <w:numId w:val="15"/>
        </w:numPr>
        <w:rPr>
          <w:rFonts w:ascii="Arial" w:hAnsi="Arial" w:cs="Arial"/>
          <w:sz w:val="24"/>
          <w:szCs w:val="24"/>
        </w:rPr>
      </w:pPr>
      <w:r w:rsidRPr="00521BA4">
        <w:rPr>
          <w:rFonts w:ascii="Arial" w:hAnsi="Arial" w:cs="Arial"/>
          <w:sz w:val="24"/>
          <w:szCs w:val="24"/>
        </w:rPr>
        <w:t>Advanced Beginner</w:t>
      </w:r>
    </w:p>
    <w:p w:rsidR="00B20B22" w:rsidRPr="00521BA4" w:rsidRDefault="00B20B22" w:rsidP="00B20B22">
      <w:pPr>
        <w:numPr>
          <w:ilvl w:val="0"/>
          <w:numId w:val="15"/>
        </w:numPr>
        <w:rPr>
          <w:rFonts w:ascii="Arial" w:hAnsi="Arial" w:cs="Arial"/>
          <w:sz w:val="24"/>
          <w:szCs w:val="24"/>
        </w:rPr>
      </w:pPr>
      <w:r w:rsidRPr="00521BA4">
        <w:rPr>
          <w:rFonts w:ascii="Arial" w:hAnsi="Arial" w:cs="Arial"/>
          <w:sz w:val="24"/>
          <w:szCs w:val="24"/>
        </w:rPr>
        <w:t>Competent</w:t>
      </w:r>
    </w:p>
    <w:p w:rsidR="00B20B22" w:rsidRPr="00521BA4" w:rsidRDefault="00B20B22" w:rsidP="00B20B22">
      <w:pPr>
        <w:numPr>
          <w:ilvl w:val="0"/>
          <w:numId w:val="15"/>
        </w:numPr>
        <w:rPr>
          <w:rFonts w:ascii="Arial" w:hAnsi="Arial" w:cs="Arial"/>
          <w:sz w:val="24"/>
          <w:szCs w:val="24"/>
        </w:rPr>
      </w:pPr>
      <w:r w:rsidRPr="00521BA4">
        <w:rPr>
          <w:rFonts w:ascii="Arial" w:hAnsi="Arial" w:cs="Arial"/>
          <w:sz w:val="24"/>
          <w:szCs w:val="24"/>
        </w:rPr>
        <w:t>Efficient</w:t>
      </w:r>
    </w:p>
    <w:p w:rsidR="00B20B22" w:rsidRPr="00521BA4" w:rsidRDefault="00B20B22" w:rsidP="00B20B22">
      <w:pPr>
        <w:numPr>
          <w:ilvl w:val="0"/>
          <w:numId w:val="15"/>
        </w:numPr>
        <w:rPr>
          <w:rFonts w:ascii="Arial" w:hAnsi="Arial" w:cs="Arial"/>
          <w:sz w:val="24"/>
          <w:szCs w:val="24"/>
        </w:rPr>
      </w:pPr>
      <w:r w:rsidRPr="00521BA4">
        <w:rPr>
          <w:rFonts w:ascii="Arial" w:hAnsi="Arial" w:cs="Arial"/>
          <w:sz w:val="24"/>
          <w:szCs w:val="24"/>
        </w:rPr>
        <w:t>Expert</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The following table maps the four stage approach onto these two models of skill acquisition within the context of continuous assessment (i.e. involving repeated successful practice over the duration of the course):</w:t>
      </w:r>
    </w:p>
    <w:p w:rsidR="00B20B22" w:rsidRPr="00521BA4" w:rsidRDefault="00B20B22" w:rsidP="00B20B22">
      <w:pPr>
        <w:rPr>
          <w:rFonts w:ascii="Arial" w:hAnsi="Arial" w:cs="Arial"/>
          <w:sz w:val="24"/>
          <w:szCs w:val="24"/>
        </w:rPr>
      </w:pPr>
      <w:r w:rsidRPr="00521BA4">
        <w:rPr>
          <w:rFonts w:ascii="Arial" w:hAnsi="Arial" w:cs="Arial"/>
          <w:sz w:val="24"/>
          <w:szCs w:val="24"/>
        </w:rPr>
        <w:br w:type="page"/>
      </w:r>
    </w:p>
    <w:tbl>
      <w:tblPr>
        <w:tblW w:w="9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1926"/>
        <w:gridCol w:w="1914"/>
        <w:gridCol w:w="3141"/>
      </w:tblGrid>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br w:type="page"/>
            </w:r>
          </w:p>
        </w:tc>
        <w:tc>
          <w:tcPr>
            <w:tcW w:w="1926" w:type="dxa"/>
          </w:tcPr>
          <w:p w:rsidR="00B20B22" w:rsidRPr="00521BA4" w:rsidRDefault="00B20B22" w:rsidP="001E19FF">
            <w:pPr>
              <w:rPr>
                <w:rFonts w:ascii="Arial" w:hAnsi="Arial" w:cs="Arial"/>
                <w:b/>
                <w:sz w:val="24"/>
                <w:szCs w:val="24"/>
              </w:rPr>
            </w:pPr>
            <w:r w:rsidRPr="00521BA4">
              <w:rPr>
                <w:rFonts w:ascii="Arial" w:hAnsi="Arial" w:cs="Arial"/>
                <w:b/>
                <w:sz w:val="24"/>
                <w:szCs w:val="24"/>
              </w:rPr>
              <w:t>Psychomotor hierarchy</w:t>
            </w:r>
          </w:p>
        </w:tc>
        <w:tc>
          <w:tcPr>
            <w:tcW w:w="1914" w:type="dxa"/>
          </w:tcPr>
          <w:p w:rsidR="00B20B22" w:rsidRPr="00521BA4" w:rsidRDefault="00B20B22" w:rsidP="001E19FF">
            <w:pPr>
              <w:rPr>
                <w:rFonts w:ascii="Arial" w:hAnsi="Arial" w:cs="Arial"/>
                <w:b/>
                <w:sz w:val="24"/>
                <w:szCs w:val="24"/>
              </w:rPr>
            </w:pPr>
            <w:r w:rsidRPr="00521BA4">
              <w:rPr>
                <w:rFonts w:ascii="Arial" w:hAnsi="Arial" w:cs="Arial"/>
                <w:b/>
                <w:sz w:val="24"/>
                <w:szCs w:val="24"/>
              </w:rPr>
              <w:t>Performance</w:t>
            </w:r>
          </w:p>
        </w:tc>
        <w:tc>
          <w:tcPr>
            <w:tcW w:w="3141" w:type="dxa"/>
          </w:tcPr>
          <w:p w:rsidR="00B20B22" w:rsidRPr="00521BA4" w:rsidRDefault="00B20B22" w:rsidP="001E19FF">
            <w:pPr>
              <w:rPr>
                <w:rFonts w:ascii="Arial" w:hAnsi="Arial" w:cs="Arial"/>
                <w:b/>
                <w:sz w:val="24"/>
                <w:szCs w:val="24"/>
              </w:rPr>
            </w:pPr>
            <w:r w:rsidRPr="00521BA4">
              <w:rPr>
                <w:rFonts w:ascii="Arial" w:hAnsi="Arial" w:cs="Arial"/>
                <w:b/>
                <w:sz w:val="24"/>
                <w:szCs w:val="24"/>
              </w:rPr>
              <w:t xml:space="preserve">Learning style preference </w:t>
            </w:r>
            <w:r w:rsidRPr="00521BA4">
              <w:rPr>
                <w:rFonts w:ascii="Arial" w:hAnsi="Arial" w:cs="Arial"/>
                <w:sz w:val="24"/>
                <w:szCs w:val="24"/>
              </w:rPr>
              <w:t>(Davis &amp; Forrest)</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Stage 1: Real time demonstration</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Perception</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None</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Predominantly visual</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Stage 2: Demonstration + instructor commentary</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Perception</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None</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Visual; auditory (knowledge and comprehension from the cognitive domain</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Stage 3: Demonstration + learner commentary</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Guided response</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Novice</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Visual and auditory</w:t>
            </w:r>
          </w:p>
        </w:tc>
      </w:tr>
      <w:tr w:rsidR="00B20B22" w:rsidRPr="00521BA4" w:rsidTr="00B20B22">
        <w:trPr>
          <w:trHeight w:val="350"/>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Stage 4: Learner demonstration + commentary</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 xml:space="preserve">Guided response </w:t>
            </w:r>
            <w:r w:rsidRPr="00521BA4">
              <w:rPr>
                <w:rFonts w:ascii="Arial" w:hAnsi="Arial" w:cs="Arial"/>
                <w:sz w:val="24"/>
                <w:szCs w:val="24"/>
              </w:rPr>
              <w:sym w:font="Wingdings" w:char="F0E0"/>
            </w:r>
            <w:r w:rsidRPr="00521BA4">
              <w:rPr>
                <w:rFonts w:ascii="Arial" w:hAnsi="Arial" w:cs="Arial"/>
                <w:sz w:val="24"/>
                <w:szCs w:val="24"/>
              </w:rPr>
              <w:t xml:space="preserve"> Mastery</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Advanced Beginner</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Kinaesthetic and auditory</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Ongoing observation and practice</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Mastery</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Competent</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Kinaesthetic</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Repeat exposure (within scenarios)</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Mastery</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Efficient</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Kinaesthetic</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Repeated practice in workplace</w:t>
            </w:r>
          </w:p>
        </w:tc>
        <w:tc>
          <w:tcPr>
            <w:tcW w:w="1926" w:type="dxa"/>
          </w:tcPr>
          <w:p w:rsidR="00B20B22" w:rsidRPr="00521BA4" w:rsidRDefault="00B20B22" w:rsidP="001E19FF">
            <w:pPr>
              <w:rPr>
                <w:rFonts w:ascii="Arial" w:hAnsi="Arial" w:cs="Arial"/>
                <w:sz w:val="24"/>
                <w:szCs w:val="24"/>
              </w:rPr>
            </w:pPr>
            <w:r w:rsidRPr="00521BA4">
              <w:rPr>
                <w:rFonts w:ascii="Arial" w:hAnsi="Arial" w:cs="Arial"/>
                <w:sz w:val="24"/>
                <w:szCs w:val="24"/>
              </w:rPr>
              <w:t>Autonomy</w:t>
            </w:r>
          </w:p>
        </w:tc>
        <w:tc>
          <w:tcPr>
            <w:tcW w:w="1914" w:type="dxa"/>
          </w:tcPr>
          <w:p w:rsidR="00B20B22" w:rsidRPr="00521BA4" w:rsidRDefault="00B20B22" w:rsidP="001E19FF">
            <w:pPr>
              <w:rPr>
                <w:rFonts w:ascii="Arial" w:hAnsi="Arial" w:cs="Arial"/>
                <w:sz w:val="24"/>
                <w:szCs w:val="24"/>
              </w:rPr>
            </w:pPr>
            <w:r w:rsidRPr="00521BA4">
              <w:rPr>
                <w:rFonts w:ascii="Arial" w:hAnsi="Arial" w:cs="Arial"/>
                <w:sz w:val="24"/>
                <w:szCs w:val="24"/>
              </w:rPr>
              <w:t>Expert</w:t>
            </w:r>
          </w:p>
        </w:tc>
        <w:tc>
          <w:tcPr>
            <w:tcW w:w="3141" w:type="dxa"/>
          </w:tcPr>
          <w:p w:rsidR="00B20B22" w:rsidRPr="00521BA4" w:rsidRDefault="00B20B22" w:rsidP="001E19FF">
            <w:pPr>
              <w:rPr>
                <w:rFonts w:ascii="Arial" w:hAnsi="Arial" w:cs="Arial"/>
                <w:sz w:val="24"/>
                <w:szCs w:val="24"/>
              </w:rPr>
            </w:pPr>
            <w:r w:rsidRPr="00521BA4">
              <w:rPr>
                <w:rFonts w:ascii="Arial" w:hAnsi="Arial" w:cs="Arial"/>
                <w:sz w:val="24"/>
                <w:szCs w:val="24"/>
              </w:rPr>
              <w:t>Kinaesthetic and auditory (if teaching juniors)</w:t>
            </w:r>
          </w:p>
        </w:tc>
      </w:tr>
      <w:tr w:rsidR="00B20B22" w:rsidRPr="00521BA4" w:rsidTr="00B20B22">
        <w:trPr>
          <w:jc w:val="center"/>
        </w:trPr>
        <w:tc>
          <w:tcPr>
            <w:tcW w:w="2028" w:type="dxa"/>
          </w:tcPr>
          <w:p w:rsidR="00B20B22" w:rsidRPr="00521BA4" w:rsidRDefault="00B20B22" w:rsidP="001E19FF">
            <w:pPr>
              <w:rPr>
                <w:rFonts w:ascii="Arial" w:hAnsi="Arial" w:cs="Arial"/>
                <w:sz w:val="24"/>
                <w:szCs w:val="24"/>
              </w:rPr>
            </w:pPr>
            <w:r w:rsidRPr="00521BA4">
              <w:rPr>
                <w:rFonts w:ascii="Arial" w:hAnsi="Arial" w:cs="Arial"/>
                <w:sz w:val="24"/>
                <w:szCs w:val="24"/>
              </w:rPr>
              <w:t>Caveat: absence of practice in work domain</w:t>
            </w:r>
          </w:p>
        </w:tc>
        <w:tc>
          <w:tcPr>
            <w:tcW w:w="6981" w:type="dxa"/>
            <w:gridSpan w:val="3"/>
          </w:tcPr>
          <w:p w:rsidR="00B20B22" w:rsidRPr="00521BA4" w:rsidRDefault="00B20B22" w:rsidP="001E19FF">
            <w:pPr>
              <w:jc w:val="center"/>
              <w:rPr>
                <w:rFonts w:ascii="Arial" w:hAnsi="Arial" w:cs="Arial"/>
                <w:sz w:val="24"/>
                <w:szCs w:val="24"/>
              </w:rPr>
            </w:pPr>
            <w:r w:rsidRPr="00521BA4">
              <w:rPr>
                <w:rFonts w:ascii="Arial" w:hAnsi="Arial" w:cs="Arial"/>
                <w:sz w:val="24"/>
                <w:szCs w:val="24"/>
              </w:rPr>
              <w:t>Decay over time</w:t>
            </w:r>
          </w:p>
        </w:tc>
      </w:tr>
    </w:tbl>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The four stage approach has been used to teach psychomotor skills as varied as log roll and x-ray interpretation and virtually any other skill in between, all within a relatively short allocated time. What the approach demands of the instructor is adherence to a systematic approach that makes clear distinctions between the phases. Is this the time to explore our shared understanding of this and our commitment to it?</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In exploring answers to this question, we will lay the foundation for next month’s topic on continuous assessment.</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b/>
          <w:sz w:val="24"/>
          <w:szCs w:val="24"/>
        </w:rPr>
      </w:pPr>
      <w:r w:rsidRPr="00521BA4">
        <w:rPr>
          <w:rFonts w:ascii="Arial" w:hAnsi="Arial" w:cs="Arial"/>
          <w:b/>
          <w:sz w:val="24"/>
          <w:szCs w:val="24"/>
        </w:rPr>
        <w:t>Bibliography</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 xml:space="preserve">Davis, M. &amp; Forrest, K. (2008), </w:t>
      </w:r>
      <w:r w:rsidRPr="00521BA4">
        <w:rPr>
          <w:rFonts w:ascii="Arial" w:hAnsi="Arial" w:cs="Arial"/>
          <w:b/>
          <w:sz w:val="24"/>
          <w:szCs w:val="24"/>
        </w:rPr>
        <w:t>How to Teach Continuing Medical Education</w:t>
      </w:r>
      <w:r w:rsidRPr="00521BA4">
        <w:rPr>
          <w:rFonts w:ascii="Arial" w:hAnsi="Arial" w:cs="Arial"/>
          <w:sz w:val="24"/>
          <w:szCs w:val="24"/>
        </w:rPr>
        <w:t>. Oxford: Wiley-Blackwell</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rPr>
      </w:pPr>
      <w:r w:rsidRPr="00521BA4">
        <w:rPr>
          <w:rFonts w:ascii="Arial" w:hAnsi="Arial" w:cs="Arial"/>
          <w:sz w:val="24"/>
          <w:szCs w:val="24"/>
        </w:rPr>
        <w:t xml:space="preserve">Dreyfus, H.L. &amp; Dreyfus, S.E. (1986), </w:t>
      </w:r>
      <w:r w:rsidRPr="00521BA4">
        <w:rPr>
          <w:rFonts w:ascii="Arial" w:hAnsi="Arial" w:cs="Arial"/>
          <w:b/>
          <w:iCs/>
          <w:sz w:val="24"/>
          <w:szCs w:val="24"/>
        </w:rPr>
        <w:t>Mind over Machine</w:t>
      </w:r>
      <w:r w:rsidRPr="00521BA4">
        <w:rPr>
          <w:rFonts w:ascii="Arial" w:hAnsi="Arial" w:cs="Arial"/>
          <w:sz w:val="24"/>
          <w:szCs w:val="24"/>
        </w:rPr>
        <w:t>.  Free press. New York</w:t>
      </w:r>
    </w:p>
    <w:p w:rsidR="00B20B22" w:rsidRPr="00521BA4" w:rsidRDefault="00B20B22" w:rsidP="00B20B22">
      <w:pPr>
        <w:rPr>
          <w:rFonts w:ascii="Arial" w:hAnsi="Arial" w:cs="Arial"/>
          <w:sz w:val="24"/>
          <w:szCs w:val="24"/>
        </w:rPr>
      </w:pPr>
    </w:p>
    <w:p w:rsidR="00B20B22" w:rsidRPr="00521BA4" w:rsidRDefault="00B20B22" w:rsidP="00B20B22">
      <w:pPr>
        <w:rPr>
          <w:rFonts w:ascii="Arial" w:hAnsi="Arial" w:cs="Arial"/>
          <w:sz w:val="24"/>
          <w:szCs w:val="24"/>
          <w:lang w:val="en-US"/>
        </w:rPr>
      </w:pPr>
      <w:r w:rsidRPr="00521BA4">
        <w:rPr>
          <w:rFonts w:ascii="Arial" w:hAnsi="Arial" w:cs="Arial"/>
          <w:sz w:val="24"/>
          <w:szCs w:val="24"/>
        </w:rPr>
        <w:t xml:space="preserve">Simpson J.S. (1966), </w:t>
      </w:r>
      <w:r w:rsidRPr="00521BA4">
        <w:rPr>
          <w:rFonts w:ascii="Arial" w:hAnsi="Arial" w:cs="Arial"/>
          <w:b/>
          <w:iCs/>
          <w:sz w:val="24"/>
          <w:szCs w:val="24"/>
        </w:rPr>
        <w:t>The classification of educational objectives: psychomotor domain</w:t>
      </w:r>
      <w:r w:rsidRPr="00521BA4">
        <w:rPr>
          <w:rFonts w:ascii="Arial" w:hAnsi="Arial" w:cs="Arial"/>
          <w:i/>
          <w:iCs/>
          <w:sz w:val="24"/>
          <w:szCs w:val="24"/>
        </w:rPr>
        <w:t>.</w:t>
      </w:r>
      <w:r w:rsidRPr="00521BA4">
        <w:rPr>
          <w:rFonts w:ascii="Arial" w:hAnsi="Arial" w:cs="Arial"/>
          <w:sz w:val="24"/>
          <w:szCs w:val="24"/>
        </w:rPr>
        <w:t xml:space="preserve">  Office of Education Project No. 5-85-104. Urbana, IL: University of Illinois</w:t>
      </w:r>
    </w:p>
    <w:p w:rsidR="007D07EC" w:rsidRPr="00521BA4" w:rsidRDefault="007D07EC">
      <w:pPr>
        <w:rPr>
          <w:rFonts w:ascii="Arial" w:hAnsi="Arial" w:cs="Arial"/>
        </w:rPr>
      </w:pPr>
    </w:p>
    <w:sectPr w:rsidR="007D07EC" w:rsidRPr="00521BA4" w:rsidSect="00D549F1">
      <w:headerReference w:type="default" r:id="rId7"/>
      <w:footerReference w:type="default" r:id="rId8"/>
      <w:headerReference w:type="first" r:id="rId9"/>
      <w:footerReference w:type="first" r:id="rId10"/>
      <w:pgSz w:w="11906" w:h="16838"/>
      <w:pgMar w:top="1440" w:right="567" w:bottom="1440"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F0" w:rsidRDefault="00C767F0" w:rsidP="00300133">
      <w:r>
        <w:separator/>
      </w:r>
    </w:p>
  </w:endnote>
  <w:endnote w:type="continuationSeparator" w:id="0">
    <w:p w:rsidR="00C767F0" w:rsidRDefault="00C767F0" w:rsidP="00300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22" w:rsidRPr="00521BA4" w:rsidRDefault="00B20B22" w:rsidP="00B20B22">
    <w:pPr>
      <w:pStyle w:val="Footer"/>
      <w:tabs>
        <w:tab w:val="clear" w:pos="4513"/>
        <w:tab w:val="clear" w:pos="9026"/>
      </w:tabs>
      <w:rPr>
        <w:rFonts w:ascii="Arial" w:hAnsi="Arial" w:cs="Arial"/>
        <w:szCs w:val="16"/>
      </w:rPr>
    </w:pPr>
    <w:fldSimple w:instr=" FILENAME  \* Lower \p  \* MERGEFORMAT ">
      <w:r w:rsidR="003F1126">
        <w:rPr>
          <w:rFonts w:ascii="Arial" w:hAnsi="Arial" w:cs="Arial"/>
          <w:noProof/>
          <w:szCs w:val="16"/>
        </w:rPr>
        <w:t>c:\users\janes\downloads\skills_teaching.doc</w:t>
      </w:r>
    </w:fldSimple>
    <w:r w:rsidR="003F1126">
      <w:rPr>
        <w:rFonts w:ascii="Arial" w:hAnsi="Arial" w:cs="Arial"/>
        <w:noProof/>
        <w:szCs w:val="16"/>
        <w:lang w:val="en-AU" w:eastAsia="en-AU"/>
      </w:rPr>
      <w:drawing>
        <wp:anchor distT="0" distB="0" distL="114300" distR="114300" simplePos="0" relativeHeight="251659264" behindDoc="1" locked="0" layoutInCell="0" allowOverlap="0">
          <wp:simplePos x="0" y="0"/>
          <wp:positionH relativeFrom="page">
            <wp:posOffset>-750570</wp:posOffset>
          </wp:positionH>
          <wp:positionV relativeFrom="paragraph">
            <wp:posOffset>-2418715</wp:posOffset>
          </wp:positionV>
          <wp:extent cx="9071610" cy="3131820"/>
          <wp:effectExtent l="19050" t="0" r="0" b="0"/>
          <wp:wrapNone/>
          <wp:docPr id="7" name="Picture 1" descr="F:\Data\P&amp;D\Marketing\New corporate image brief\Shoot The Moon designs received\ALSG - masters - Supplied 29_11\ALSG Logos\RGB\ALSG-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P&amp;D\Marketing\New corporate image brief\Shoot The Moon designs received\ALSG - masters - Supplied 29_11\ALSG Logos\RGB\ALSG-Heartbeat.jpg"/>
                  <pic:cNvPicPr>
                    <a:picLocks noChangeAspect="1" noChangeArrowheads="1"/>
                  </pic:cNvPicPr>
                </pic:nvPicPr>
                <pic:blipFill>
                  <a:blip r:embed="rId1"/>
                  <a:srcRect/>
                  <a:stretch>
                    <a:fillRect/>
                  </a:stretch>
                </pic:blipFill>
                <pic:spPr bwMode="auto">
                  <a:xfrm>
                    <a:off x="0" y="0"/>
                    <a:ext cx="9071610" cy="3131820"/>
                  </a:xfrm>
                  <a:prstGeom prst="rect">
                    <a:avLst/>
                  </a:prstGeom>
                  <a:noFill/>
                  <a:ln w="9525">
                    <a:noFill/>
                    <a:miter lim="800000"/>
                    <a:headEnd/>
                    <a:tailEnd/>
                  </a:ln>
                </pic:spPr>
              </pic:pic>
            </a:graphicData>
          </a:graphic>
        </wp:anchor>
      </w:drawing>
    </w:r>
  </w:p>
  <w:p w:rsidR="007D07EC" w:rsidRDefault="007D07EC" w:rsidP="007D07EC">
    <w:pPr>
      <w:pStyle w:val="Footer"/>
      <w:tabs>
        <w:tab w:val="clear" w:pos="4513"/>
        <w:tab w:val="clear"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0A" w:rsidRPr="00521BA4" w:rsidRDefault="003F1126" w:rsidP="00855B0A">
    <w:pPr>
      <w:pStyle w:val="Footer"/>
      <w:tabs>
        <w:tab w:val="clear" w:pos="4513"/>
        <w:tab w:val="clear" w:pos="9026"/>
      </w:tabs>
      <w:rPr>
        <w:rFonts w:ascii="Arial" w:hAnsi="Arial" w:cs="Arial"/>
        <w:szCs w:val="16"/>
      </w:rPr>
    </w:pPr>
    <w:r>
      <w:rPr>
        <w:noProof/>
        <w:lang w:val="en-AU" w:eastAsia="en-AU"/>
      </w:rPr>
      <w:drawing>
        <wp:anchor distT="0" distB="0" distL="114300" distR="114300" simplePos="0" relativeHeight="251657216" behindDoc="1" locked="0" layoutInCell="0" allowOverlap="0">
          <wp:simplePos x="0" y="0"/>
          <wp:positionH relativeFrom="page">
            <wp:posOffset>-689610</wp:posOffset>
          </wp:positionH>
          <wp:positionV relativeFrom="paragraph">
            <wp:posOffset>-2418715</wp:posOffset>
          </wp:positionV>
          <wp:extent cx="9071610" cy="3131820"/>
          <wp:effectExtent l="19050" t="0" r="0" b="0"/>
          <wp:wrapNone/>
          <wp:docPr id="4" name="Picture 1" descr="F:\Data\P&amp;D\Marketing\New corporate image brief\Shoot The Moon designs received\ALSG - masters - Supplied 29_11\ALSG Logos\RGB\ALSG-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P&amp;D\Marketing\New corporate image brief\Shoot The Moon designs received\ALSG - masters - Supplied 29_11\ALSG Logos\RGB\ALSG-Heartbeat.jpg"/>
                  <pic:cNvPicPr>
                    <a:picLocks noChangeAspect="1" noChangeArrowheads="1"/>
                  </pic:cNvPicPr>
                </pic:nvPicPr>
                <pic:blipFill>
                  <a:blip r:embed="rId1"/>
                  <a:srcRect/>
                  <a:stretch>
                    <a:fillRect/>
                  </a:stretch>
                </pic:blipFill>
                <pic:spPr bwMode="auto">
                  <a:xfrm>
                    <a:off x="0" y="0"/>
                    <a:ext cx="9071610" cy="3131820"/>
                  </a:xfrm>
                  <a:prstGeom prst="rect">
                    <a:avLst/>
                  </a:prstGeom>
                  <a:noFill/>
                  <a:ln w="9525">
                    <a:noFill/>
                    <a:miter lim="800000"/>
                    <a:headEnd/>
                    <a:tailEnd/>
                  </a:ln>
                </pic:spPr>
              </pic:pic>
            </a:graphicData>
          </a:graphic>
        </wp:anchor>
      </w:drawing>
    </w:r>
    <w:r w:rsidR="00855B0A">
      <w:tab/>
    </w:r>
    <w:fldSimple w:instr=" FILENAME  \* Lower \p  \* MERGEFORMAT ">
      <w:r>
        <w:rPr>
          <w:rFonts w:ascii="Arial" w:hAnsi="Arial" w:cs="Arial"/>
          <w:noProof/>
          <w:szCs w:val="16"/>
        </w:rPr>
        <w:t>c:\users\janes\downloads\skills_teaching.doc</w:t>
      </w:r>
    </w:fldSimple>
    <w:r>
      <w:rPr>
        <w:rFonts w:ascii="Arial" w:hAnsi="Arial" w:cs="Arial"/>
        <w:noProof/>
        <w:szCs w:val="16"/>
        <w:lang w:val="en-AU" w:eastAsia="en-AU"/>
      </w:rPr>
      <w:drawing>
        <wp:anchor distT="0" distB="0" distL="114300" distR="114300" simplePos="0" relativeHeight="251658240" behindDoc="1" locked="0" layoutInCell="0" allowOverlap="0">
          <wp:simplePos x="0" y="0"/>
          <wp:positionH relativeFrom="page">
            <wp:posOffset>-750570</wp:posOffset>
          </wp:positionH>
          <wp:positionV relativeFrom="paragraph">
            <wp:posOffset>-2418715</wp:posOffset>
          </wp:positionV>
          <wp:extent cx="9071610" cy="3131820"/>
          <wp:effectExtent l="19050" t="0" r="0" b="0"/>
          <wp:wrapNone/>
          <wp:docPr id="5" name="Picture 1" descr="F:\Data\P&amp;D\Marketing\New corporate image brief\Shoot The Moon designs received\ALSG - masters - Supplied 29_11\ALSG Logos\RGB\ALSG-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P&amp;D\Marketing\New corporate image brief\Shoot The Moon designs received\ALSG - masters - Supplied 29_11\ALSG Logos\RGB\ALSG-Heartbeat.jpg"/>
                  <pic:cNvPicPr>
                    <a:picLocks noChangeAspect="1" noChangeArrowheads="1"/>
                  </pic:cNvPicPr>
                </pic:nvPicPr>
                <pic:blipFill>
                  <a:blip r:embed="rId1"/>
                  <a:srcRect/>
                  <a:stretch>
                    <a:fillRect/>
                  </a:stretch>
                </pic:blipFill>
                <pic:spPr bwMode="auto">
                  <a:xfrm>
                    <a:off x="0" y="0"/>
                    <a:ext cx="9071610" cy="3131820"/>
                  </a:xfrm>
                  <a:prstGeom prst="rect">
                    <a:avLst/>
                  </a:prstGeom>
                  <a:noFill/>
                  <a:ln w="9525">
                    <a:noFill/>
                    <a:miter lim="800000"/>
                    <a:headEnd/>
                    <a:tailEnd/>
                  </a:ln>
                </pic:spPr>
              </pic:pic>
            </a:graphicData>
          </a:graphic>
        </wp:anchor>
      </w:drawing>
    </w:r>
  </w:p>
  <w:p w:rsidR="00855B0A" w:rsidRDefault="00855B0A" w:rsidP="00855B0A">
    <w:pPr>
      <w:pStyle w:val="Footer"/>
      <w:tabs>
        <w:tab w:val="clear" w:pos="4513"/>
        <w:tab w:val="clear" w:pos="9026"/>
        <w:tab w:val="left" w:pos="806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F0" w:rsidRDefault="00C767F0" w:rsidP="00300133">
      <w:r>
        <w:separator/>
      </w:r>
    </w:p>
  </w:footnote>
  <w:footnote w:type="continuationSeparator" w:id="0">
    <w:p w:rsidR="00C767F0" w:rsidRDefault="00C767F0" w:rsidP="00300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EC" w:rsidRDefault="007D07EC">
    <w:pPr>
      <w:pStyle w:val="Header"/>
    </w:pPr>
  </w:p>
  <w:p w:rsidR="007D07EC" w:rsidRDefault="007D0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0A" w:rsidRDefault="003F1126">
    <w:pPr>
      <w:pStyle w:val="Header"/>
    </w:pPr>
    <w:r>
      <w:rPr>
        <w:noProof/>
        <w:lang w:val="en-AU" w:eastAsia="en-AU"/>
      </w:rPr>
      <w:drawing>
        <wp:anchor distT="0" distB="0" distL="114300" distR="114300" simplePos="0" relativeHeight="251656192" behindDoc="1" locked="0" layoutInCell="1" allowOverlap="1">
          <wp:simplePos x="0" y="0"/>
          <wp:positionH relativeFrom="column">
            <wp:posOffset>5358765</wp:posOffset>
          </wp:positionH>
          <wp:positionV relativeFrom="paragraph">
            <wp:posOffset>-175895</wp:posOffset>
          </wp:positionV>
          <wp:extent cx="1550670" cy="754380"/>
          <wp:effectExtent l="19050" t="0" r="0" b="0"/>
          <wp:wrapNone/>
          <wp:docPr id="3" name="Picture 2" descr="F:\Data\P&amp;D\Marketing\New corporate image brief\Shoot The Moon designs received\ALSG - masters - Supplied 29_11\ALSG Logos\RGB\ALSG_Master_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P&amp;D\Marketing\New corporate image brief\Shoot The Moon designs received\ALSG - masters - Supplied 29_11\ALSG Logos\RGB\ALSG_Master_BLUE RGB.jpg"/>
                  <pic:cNvPicPr>
                    <a:picLocks noChangeAspect="1" noChangeArrowheads="1"/>
                  </pic:cNvPicPr>
                </pic:nvPicPr>
                <pic:blipFill>
                  <a:blip r:embed="rId1"/>
                  <a:srcRect/>
                  <a:stretch>
                    <a:fillRect/>
                  </a:stretch>
                </pic:blipFill>
                <pic:spPr bwMode="auto">
                  <a:xfrm>
                    <a:off x="0" y="0"/>
                    <a:ext cx="1550670" cy="7543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A0DE2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2">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E96044"/>
    <w:multiLevelType w:val="hybridMultilevel"/>
    <w:tmpl w:val="937A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45E28"/>
    <w:multiLevelType w:val="hybridMultilevel"/>
    <w:tmpl w:val="D0AA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1"/>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attachedTemplate r:id="rId1"/>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19FF"/>
    <w:rsid w:val="00023337"/>
    <w:rsid w:val="0003113A"/>
    <w:rsid w:val="0005408B"/>
    <w:rsid w:val="00057318"/>
    <w:rsid w:val="00060608"/>
    <w:rsid w:val="000A3631"/>
    <w:rsid w:val="000B23DF"/>
    <w:rsid w:val="000D0512"/>
    <w:rsid w:val="000F2B4B"/>
    <w:rsid w:val="00175282"/>
    <w:rsid w:val="001E19FF"/>
    <w:rsid w:val="002C4544"/>
    <w:rsid w:val="00300133"/>
    <w:rsid w:val="003E0DF2"/>
    <w:rsid w:val="003F1126"/>
    <w:rsid w:val="003F2C3A"/>
    <w:rsid w:val="004E04F5"/>
    <w:rsid w:val="00521BA4"/>
    <w:rsid w:val="0059092D"/>
    <w:rsid w:val="00611C92"/>
    <w:rsid w:val="00640863"/>
    <w:rsid w:val="00647D5A"/>
    <w:rsid w:val="00692E60"/>
    <w:rsid w:val="0070052F"/>
    <w:rsid w:val="00741552"/>
    <w:rsid w:val="00780521"/>
    <w:rsid w:val="00791631"/>
    <w:rsid w:val="007A70C9"/>
    <w:rsid w:val="007D07EC"/>
    <w:rsid w:val="007D3602"/>
    <w:rsid w:val="00812681"/>
    <w:rsid w:val="00855B0A"/>
    <w:rsid w:val="00932408"/>
    <w:rsid w:val="009A39C5"/>
    <w:rsid w:val="009E53F2"/>
    <w:rsid w:val="009E7195"/>
    <w:rsid w:val="00A148E7"/>
    <w:rsid w:val="00A3520E"/>
    <w:rsid w:val="00AD707A"/>
    <w:rsid w:val="00AD78A2"/>
    <w:rsid w:val="00AE38FC"/>
    <w:rsid w:val="00B20B22"/>
    <w:rsid w:val="00B231E2"/>
    <w:rsid w:val="00B248E9"/>
    <w:rsid w:val="00B8469B"/>
    <w:rsid w:val="00B93011"/>
    <w:rsid w:val="00C021E0"/>
    <w:rsid w:val="00C1174C"/>
    <w:rsid w:val="00C767F0"/>
    <w:rsid w:val="00C9065F"/>
    <w:rsid w:val="00CC052D"/>
    <w:rsid w:val="00CE13E4"/>
    <w:rsid w:val="00D549F1"/>
    <w:rsid w:val="00D56302"/>
    <w:rsid w:val="00DB3350"/>
    <w:rsid w:val="00DD723F"/>
    <w:rsid w:val="00E36041"/>
    <w:rsid w:val="00E44E53"/>
    <w:rsid w:val="00E61311"/>
    <w:rsid w:val="00E6741D"/>
    <w:rsid w:val="00F6721A"/>
    <w:rsid w:val="00FB79CD"/>
    <w:rsid w:val="00FF00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Calibri" w:hAnsi="Myriad Pro"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39C5"/>
    <w:rPr>
      <w:rFonts w:ascii="Times New Roman" w:eastAsia="Times New Roman" w:hAnsi="Times New Roman"/>
      <w:lang w:val="en-GB" w:eastAsia="en-US"/>
    </w:rPr>
  </w:style>
  <w:style w:type="paragraph" w:styleId="Heading1">
    <w:name w:val="heading 1"/>
    <w:aliases w:val="ALSG Heading 1"/>
    <w:next w:val="Normal"/>
    <w:link w:val="Heading1Char"/>
    <w:uiPriority w:val="9"/>
    <w:qFormat/>
    <w:rsid w:val="009A39C5"/>
    <w:pPr>
      <w:keepNext/>
      <w:spacing w:before="240" w:after="60"/>
      <w:outlineLvl w:val="0"/>
    </w:pPr>
    <w:rPr>
      <w:rFonts w:eastAsia="Times New Roman"/>
      <w:b/>
      <w:bCs/>
      <w:color w:val="2F70C8"/>
      <w:kern w:val="32"/>
      <w:sz w:val="64"/>
      <w:szCs w:val="32"/>
      <w:lang w:val="en-GB" w:eastAsia="en-US"/>
    </w:rPr>
  </w:style>
  <w:style w:type="paragraph" w:styleId="Heading2">
    <w:name w:val="heading 2"/>
    <w:aliases w:val="ALSG KTO Heading"/>
    <w:basedOn w:val="Normal"/>
    <w:next w:val="Normal"/>
    <w:link w:val="Heading2Char"/>
    <w:uiPriority w:val="9"/>
    <w:semiHidden/>
    <w:unhideWhenUsed/>
    <w:qFormat/>
    <w:rsid w:val="009A39C5"/>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rsid w:val="00741552"/>
    <w:pPr>
      <w:keepNext/>
      <w:jc w:val="center"/>
      <w:outlineLvl w:val="2"/>
    </w:pPr>
    <w:rPr>
      <w:rFonts w:ascii="Comic Sans MS" w:hAnsi="Comic Sans MS"/>
      <w:b/>
      <w:bCs/>
      <w:sz w:val="24"/>
    </w:rPr>
  </w:style>
  <w:style w:type="paragraph" w:styleId="Heading6">
    <w:name w:val="heading 6"/>
    <w:basedOn w:val="Normal"/>
    <w:next w:val="Normal"/>
    <w:link w:val="Heading6Char"/>
    <w:uiPriority w:val="9"/>
    <w:semiHidden/>
    <w:unhideWhenUsed/>
    <w:qFormat/>
    <w:rsid w:val="009A39C5"/>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rsid w:val="0074155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41552"/>
  </w:style>
  <w:style w:type="paragraph" w:styleId="BalloonText">
    <w:name w:val="Balloon Text"/>
    <w:basedOn w:val="Normal"/>
    <w:link w:val="BalloonTextChar"/>
    <w:uiPriority w:val="99"/>
    <w:semiHidden/>
    <w:unhideWhenUsed/>
    <w:rsid w:val="00741552"/>
    <w:rPr>
      <w:rFonts w:ascii="Tahoma" w:hAnsi="Tahoma" w:cs="Tahoma"/>
      <w:sz w:val="16"/>
      <w:szCs w:val="16"/>
    </w:rPr>
  </w:style>
  <w:style w:type="character" w:customStyle="1" w:styleId="BalloonTextChar">
    <w:name w:val="Balloon Text Char"/>
    <w:basedOn w:val="DefaultParagraphFont"/>
    <w:link w:val="BalloonText"/>
    <w:uiPriority w:val="99"/>
    <w:semiHidden/>
    <w:rsid w:val="00741552"/>
    <w:rPr>
      <w:rFonts w:ascii="Tahoma" w:eastAsia="Times New Roman" w:hAnsi="Tahoma" w:cs="Tahoma"/>
      <w:sz w:val="16"/>
      <w:szCs w:val="16"/>
      <w:lang w:eastAsia="en-US"/>
    </w:rPr>
  </w:style>
  <w:style w:type="paragraph" w:styleId="Header">
    <w:name w:val="header"/>
    <w:aliases w:val="ALSG Header"/>
    <w:basedOn w:val="Normal"/>
    <w:link w:val="HeaderChar"/>
    <w:uiPriority w:val="99"/>
    <w:unhideWhenUsed/>
    <w:qFormat/>
    <w:rsid w:val="009A39C5"/>
    <w:pPr>
      <w:widowControl w:val="0"/>
      <w:tabs>
        <w:tab w:val="center" w:pos="4513"/>
        <w:tab w:val="right" w:pos="9026"/>
      </w:tabs>
      <w:autoSpaceDE w:val="0"/>
      <w:autoSpaceDN w:val="0"/>
      <w:adjustRightInd w:val="0"/>
      <w:jc w:val="right"/>
    </w:pPr>
    <w:rPr>
      <w:rFonts w:ascii="Myriad Pro" w:hAnsi="Myriad Pro" w:cs="Courier New"/>
      <w:sz w:val="16"/>
    </w:rPr>
  </w:style>
  <w:style w:type="character" w:customStyle="1" w:styleId="HeaderChar">
    <w:name w:val="Header Char"/>
    <w:aliases w:val="ALSG Header Char"/>
    <w:basedOn w:val="DefaultParagraphFont"/>
    <w:link w:val="Header"/>
    <w:uiPriority w:val="99"/>
    <w:rsid w:val="009A39C5"/>
    <w:rPr>
      <w:rFonts w:eastAsia="Times New Roman" w:cs="Courier New"/>
      <w:sz w:val="16"/>
      <w:lang w:eastAsia="en-US"/>
    </w:rPr>
  </w:style>
  <w:style w:type="paragraph" w:styleId="Footer">
    <w:name w:val="footer"/>
    <w:aliases w:val="ALSG Footer"/>
    <w:basedOn w:val="Normal"/>
    <w:link w:val="FooterChar"/>
    <w:uiPriority w:val="99"/>
    <w:unhideWhenUsed/>
    <w:qFormat/>
    <w:rsid w:val="009A39C5"/>
    <w:pPr>
      <w:widowControl w:val="0"/>
      <w:tabs>
        <w:tab w:val="center" w:pos="4513"/>
        <w:tab w:val="right" w:pos="9026"/>
      </w:tabs>
      <w:autoSpaceDE w:val="0"/>
      <w:autoSpaceDN w:val="0"/>
      <w:adjustRightInd w:val="0"/>
      <w:jc w:val="right"/>
    </w:pPr>
    <w:rPr>
      <w:rFonts w:ascii="Myriad Pro" w:hAnsi="Myriad Pro" w:cs="Courier New"/>
      <w:sz w:val="16"/>
    </w:rPr>
  </w:style>
  <w:style w:type="character" w:customStyle="1" w:styleId="FooterChar">
    <w:name w:val="Footer Char"/>
    <w:aliases w:val="ALSG Footer Char"/>
    <w:basedOn w:val="DefaultParagraphFont"/>
    <w:link w:val="Footer"/>
    <w:uiPriority w:val="99"/>
    <w:rsid w:val="009A39C5"/>
    <w:rPr>
      <w:rFonts w:eastAsia="Times New Roman" w:cs="Courier New"/>
      <w:sz w:val="16"/>
      <w:lang w:eastAsia="en-US"/>
    </w:rPr>
  </w:style>
  <w:style w:type="character" w:customStyle="1" w:styleId="Heading3Char">
    <w:name w:val="Heading 3 Char"/>
    <w:basedOn w:val="DefaultParagraphFont"/>
    <w:link w:val="Heading3"/>
    <w:rsid w:val="00741552"/>
    <w:rPr>
      <w:rFonts w:ascii="Comic Sans MS" w:eastAsia="Times New Roman" w:hAnsi="Comic Sans MS"/>
      <w:b/>
      <w:bCs/>
      <w:sz w:val="24"/>
      <w:lang w:eastAsia="en-US"/>
    </w:rPr>
  </w:style>
  <w:style w:type="paragraph" w:styleId="BodyText">
    <w:name w:val="Body Text"/>
    <w:aliases w:val="ALSG Body Text"/>
    <w:basedOn w:val="Normal"/>
    <w:link w:val="BodyTextChar"/>
    <w:qFormat/>
    <w:rsid w:val="009A39C5"/>
    <w:pPr>
      <w:widowControl w:val="0"/>
      <w:tabs>
        <w:tab w:val="left" w:pos="2296"/>
      </w:tabs>
      <w:autoSpaceDE w:val="0"/>
      <w:autoSpaceDN w:val="0"/>
      <w:adjustRightInd w:val="0"/>
    </w:pPr>
    <w:rPr>
      <w:rFonts w:ascii="Myriad Pro" w:hAnsi="Myriad Pro" w:cs="Courier New"/>
      <w:color w:val="222221"/>
      <w:sz w:val="24"/>
      <w:szCs w:val="24"/>
      <w:lang w:val="en-US"/>
    </w:rPr>
  </w:style>
  <w:style w:type="character" w:customStyle="1" w:styleId="BodyTextChar">
    <w:name w:val="Body Text Char"/>
    <w:aliases w:val="ALSG Body Text Char"/>
    <w:basedOn w:val="DefaultParagraphFont"/>
    <w:link w:val="BodyText"/>
    <w:rsid w:val="009A39C5"/>
    <w:rPr>
      <w:rFonts w:eastAsia="Times New Roman" w:cs="Courier New"/>
      <w:color w:val="222221"/>
      <w:sz w:val="24"/>
      <w:szCs w:val="24"/>
      <w:lang w:val="en-US" w:eastAsia="en-US"/>
    </w:rPr>
  </w:style>
  <w:style w:type="paragraph" w:customStyle="1" w:styleId="ALSG">
    <w:name w:val="ALSG"/>
    <w:basedOn w:val="Normal"/>
    <w:next w:val="Normal"/>
    <w:qFormat/>
    <w:rsid w:val="009A39C5"/>
    <w:rPr>
      <w:rFonts w:ascii="Myriad Pro" w:hAnsi="Myriad Pro"/>
      <w:iCs/>
      <w:color w:val="3657A7"/>
      <w:sz w:val="24"/>
    </w:rPr>
  </w:style>
  <w:style w:type="character" w:customStyle="1" w:styleId="Heading1Char">
    <w:name w:val="Heading 1 Char"/>
    <w:aliases w:val="ALSG Heading 1 Char"/>
    <w:basedOn w:val="DefaultParagraphFont"/>
    <w:link w:val="Heading1"/>
    <w:uiPriority w:val="9"/>
    <w:rsid w:val="009A39C5"/>
    <w:rPr>
      <w:rFonts w:eastAsia="Times New Roman"/>
      <w:b/>
      <w:bCs/>
      <w:color w:val="2F70C8"/>
      <w:kern w:val="32"/>
      <w:sz w:val="64"/>
      <w:szCs w:val="32"/>
      <w:lang w:val="en-GB" w:eastAsia="en-US" w:bidi="ar-SA"/>
    </w:rPr>
  </w:style>
  <w:style w:type="character" w:customStyle="1" w:styleId="Heading2Char">
    <w:name w:val="Heading 2 Char"/>
    <w:aliases w:val="ALSG KTO Heading Char"/>
    <w:basedOn w:val="DefaultParagraphFont"/>
    <w:link w:val="Heading2"/>
    <w:uiPriority w:val="9"/>
    <w:semiHidden/>
    <w:rsid w:val="009A39C5"/>
    <w:rPr>
      <w:rFonts w:eastAsia="Times New Roman"/>
      <w:b/>
      <w:bCs/>
      <w:iCs/>
      <w:color w:val="FFFFFF"/>
      <w:sz w:val="56"/>
      <w:szCs w:val="28"/>
      <w:lang w:val="en-US" w:eastAsia="en-US"/>
    </w:rPr>
  </w:style>
  <w:style w:type="character" w:customStyle="1" w:styleId="Heading6Char">
    <w:name w:val="Heading 6 Char"/>
    <w:basedOn w:val="DefaultParagraphFont"/>
    <w:link w:val="Heading6"/>
    <w:uiPriority w:val="9"/>
    <w:semiHidden/>
    <w:rsid w:val="009A39C5"/>
    <w:rPr>
      <w:rFonts w:ascii="Calibri" w:eastAsia="Times New Roman" w:hAnsi="Calibri"/>
      <w:b/>
      <w:bCs/>
      <w:sz w:val="22"/>
      <w:szCs w:val="22"/>
      <w:lang w:val="en-US" w:eastAsia="en-US"/>
    </w:rPr>
  </w:style>
  <w:style w:type="paragraph" w:styleId="ListBullet">
    <w:name w:val="List Bullet"/>
    <w:aliases w:val="ALSG List Bullet"/>
    <w:basedOn w:val="Normal"/>
    <w:uiPriority w:val="99"/>
    <w:semiHidden/>
    <w:unhideWhenUsed/>
    <w:qFormat/>
    <w:rsid w:val="009A39C5"/>
    <w:pPr>
      <w:widowControl w:val="0"/>
      <w:numPr>
        <w:numId w:val="12"/>
      </w:numPr>
      <w:autoSpaceDE w:val="0"/>
      <w:autoSpaceDN w:val="0"/>
      <w:adjustRightInd w:val="0"/>
      <w:contextualSpacing/>
    </w:pPr>
    <w:rPr>
      <w:rFonts w:ascii="Myriad Pro" w:eastAsia="MS Mincho" w:hAnsi="Myriad Pro" w:cs="Courier New"/>
      <w:color w:val="222221"/>
      <w:sz w:val="24"/>
      <w:szCs w:val="24"/>
    </w:rPr>
  </w:style>
  <w:style w:type="paragraph" w:styleId="ListNumber">
    <w:name w:val="List Number"/>
    <w:aliases w:val="ALSG List Number"/>
    <w:basedOn w:val="Normal"/>
    <w:uiPriority w:val="99"/>
    <w:semiHidden/>
    <w:unhideWhenUsed/>
    <w:qFormat/>
    <w:rsid w:val="009A39C5"/>
    <w:pPr>
      <w:widowControl w:val="0"/>
      <w:numPr>
        <w:numId w:val="13"/>
      </w:numPr>
      <w:autoSpaceDE w:val="0"/>
      <w:autoSpaceDN w:val="0"/>
      <w:adjustRightInd w:val="0"/>
      <w:contextualSpacing/>
    </w:pPr>
    <w:rPr>
      <w:rFonts w:ascii="Myriad Pro" w:hAnsi="Myriad Pro" w:cs="Courier New"/>
      <w:color w:val="222221"/>
      <w:sz w:val="24"/>
      <w:szCs w:val="24"/>
      <w:lang w:val="en-US"/>
    </w:rPr>
  </w:style>
  <w:style w:type="paragraph" w:styleId="ListBullet2">
    <w:name w:val="List Bullet 2"/>
    <w:aliases w:val="ALSG KTO List Bullet"/>
    <w:basedOn w:val="Normal"/>
    <w:uiPriority w:val="99"/>
    <w:semiHidden/>
    <w:unhideWhenUsed/>
    <w:qFormat/>
    <w:rsid w:val="009A39C5"/>
    <w:pPr>
      <w:widowControl w:val="0"/>
      <w:autoSpaceDE w:val="0"/>
      <w:autoSpaceDN w:val="0"/>
      <w:adjustRightInd w:val="0"/>
      <w:contextualSpacing/>
    </w:pPr>
    <w:rPr>
      <w:rFonts w:ascii="Myriad Pro" w:hAnsi="Myriad Pro" w:cs="Courier New"/>
      <w:color w:val="FFFFFF"/>
      <w:sz w:val="32"/>
      <w:szCs w:val="24"/>
      <w:lang w:val="en-US"/>
    </w:rPr>
  </w:style>
  <w:style w:type="paragraph" w:customStyle="1" w:styleId="ALSGHeading2">
    <w:name w:val="ALSG Heading 2"/>
    <w:basedOn w:val="Heading2"/>
    <w:next w:val="BodyText"/>
    <w:qFormat/>
    <w:rsid w:val="009A39C5"/>
    <w:rPr>
      <w:iCs w:val="0"/>
      <w:color w:val="3657A7"/>
      <w:sz w:val="28"/>
    </w:rPr>
  </w:style>
  <w:style w:type="paragraph" w:customStyle="1" w:styleId="ALSGBodyTextItalic">
    <w:name w:val="ALSG Body Text + Italic"/>
    <w:basedOn w:val="BodyText"/>
    <w:next w:val="BodyText"/>
    <w:qFormat/>
    <w:rsid w:val="009A39C5"/>
    <w:rPr>
      <w:i/>
      <w:iCs/>
    </w:rPr>
  </w:style>
  <w:style w:type="paragraph" w:customStyle="1" w:styleId="ALSGKeyPointBox">
    <w:name w:val="ALSG Key Point Box"/>
    <w:basedOn w:val="Normal"/>
    <w:link w:val="ALSGKeyPointBoxChar"/>
    <w:qFormat/>
    <w:rsid w:val="009A39C5"/>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szCs w:val="24"/>
    </w:rPr>
  </w:style>
  <w:style w:type="character" w:customStyle="1" w:styleId="ALSGKeyPointBoxChar">
    <w:name w:val="ALSG Key Point Box Char"/>
    <w:basedOn w:val="DefaultParagraphFont"/>
    <w:link w:val="ALSGKeyPointBox"/>
    <w:rsid w:val="009A39C5"/>
    <w:rPr>
      <w:rFonts w:eastAsia="Times New Roman"/>
      <w:b/>
      <w:bCs/>
      <w:color w:val="2F70C8"/>
      <w:sz w:val="24"/>
      <w:szCs w:val="24"/>
      <w:lang w:eastAsia="en-US"/>
    </w:rPr>
  </w:style>
  <w:style w:type="paragraph" w:styleId="FootnoteText">
    <w:name w:val="footnote text"/>
    <w:basedOn w:val="Normal"/>
    <w:link w:val="FootnoteTextChar"/>
    <w:uiPriority w:val="99"/>
    <w:semiHidden/>
    <w:unhideWhenUsed/>
    <w:rsid w:val="00741552"/>
  </w:style>
  <w:style w:type="character" w:customStyle="1" w:styleId="FootnoteTextChar">
    <w:name w:val="Footnote Text Char"/>
    <w:basedOn w:val="DefaultParagraphFont"/>
    <w:link w:val="FootnoteText"/>
    <w:uiPriority w:val="99"/>
    <w:semiHidden/>
    <w:rsid w:val="00741552"/>
    <w:rPr>
      <w:rFonts w:ascii="Times New Roman" w:eastAsia="Times New Roman" w:hAnsi="Times New Roman"/>
      <w:lang w:eastAsia="en-US"/>
    </w:rPr>
  </w:style>
  <w:style w:type="character" w:styleId="Hyperlink">
    <w:name w:val="Hyperlink"/>
    <w:basedOn w:val="DefaultParagraphFont"/>
    <w:rsid w:val="00741552"/>
    <w:rPr>
      <w:color w:val="0000FF"/>
      <w:u w:val="single"/>
    </w:rPr>
  </w:style>
  <w:style w:type="character" w:styleId="Strong">
    <w:name w:val="Strong"/>
    <w:basedOn w:val="DefaultParagraphFont"/>
    <w:uiPriority w:val="22"/>
    <w:qFormat/>
    <w:rsid w:val="009A39C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TEMPLATES\00_BRANDING%20TEMPLATES\A4_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A4_Port_Template</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janes</cp:lastModifiedBy>
  <cp:revision>2</cp:revision>
  <cp:lastPrinted>2014-07-18T06:48:00Z</cp:lastPrinted>
  <dcterms:created xsi:type="dcterms:W3CDTF">2014-07-18T06:56:00Z</dcterms:created>
  <dcterms:modified xsi:type="dcterms:W3CDTF">2014-07-18T06:56:00Z</dcterms:modified>
</cp:coreProperties>
</file>