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9D" w:rsidRDefault="0079669D" w:rsidP="00796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sz w:val="36"/>
          <w:szCs w:val="36"/>
          <w:lang w:val="en-US"/>
        </w:rPr>
      </w:pPr>
      <w:r w:rsidRPr="0079669D">
        <w:rPr>
          <w:rFonts w:ascii="Arial" w:eastAsia="CIDFont+F2" w:hAnsi="Arial" w:cs="Arial"/>
          <w:sz w:val="36"/>
          <w:szCs w:val="36"/>
          <w:lang w:val="en-US"/>
        </w:rPr>
        <w:t>Geneva Watch Days</w:t>
      </w:r>
      <w:r w:rsidRPr="0079669D">
        <w:rPr>
          <w:rFonts w:ascii="Arial" w:eastAsia="CIDFont+F3" w:hAnsi="Arial" w:cs="Arial"/>
          <w:sz w:val="36"/>
          <w:szCs w:val="36"/>
          <w:lang w:val="en-US"/>
        </w:rPr>
        <w:t xml:space="preserve">: several new </w:t>
      </w:r>
      <w:proofErr w:type="spellStart"/>
      <w:r w:rsidRPr="0079669D">
        <w:rPr>
          <w:rFonts w:ascii="Arial" w:eastAsia="CIDFont+F3" w:hAnsi="Arial" w:cs="Arial"/>
          <w:sz w:val="36"/>
          <w:szCs w:val="36"/>
          <w:lang w:val="en-US"/>
        </w:rPr>
        <w:t>Maisons</w:t>
      </w:r>
      <w:proofErr w:type="spellEnd"/>
      <w:r w:rsidRPr="0079669D">
        <w:rPr>
          <w:rFonts w:ascii="Arial" w:eastAsia="CIDFont+F3" w:hAnsi="Arial" w:cs="Arial"/>
          <w:sz w:val="36"/>
          <w:szCs w:val="36"/>
          <w:lang w:val="en-US"/>
        </w:rPr>
        <w:t xml:space="preserve"> </w:t>
      </w:r>
    </w:p>
    <w:p w:rsidR="0079669D" w:rsidRDefault="0079669D" w:rsidP="00796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sz w:val="36"/>
          <w:szCs w:val="36"/>
          <w:lang w:val="en-US"/>
        </w:rPr>
      </w:pPr>
      <w:proofErr w:type="gramStart"/>
      <w:r w:rsidRPr="0079669D">
        <w:rPr>
          <w:rFonts w:ascii="Arial" w:eastAsia="CIDFont+F3" w:hAnsi="Arial" w:cs="Arial"/>
          <w:sz w:val="36"/>
          <w:szCs w:val="36"/>
          <w:lang w:val="en-US"/>
        </w:rPr>
        <w:t>and</w:t>
      </w:r>
      <w:proofErr w:type="gramEnd"/>
      <w:r w:rsidRPr="0079669D">
        <w:rPr>
          <w:rFonts w:ascii="Arial" w:eastAsia="CIDFont+F3" w:hAnsi="Arial" w:cs="Arial"/>
          <w:sz w:val="36"/>
          <w:szCs w:val="36"/>
          <w:lang w:val="en-US"/>
        </w:rPr>
        <w:t xml:space="preserve"> a tent open</w:t>
      </w:r>
      <w:r>
        <w:rPr>
          <w:rFonts w:ascii="Arial" w:eastAsia="CIDFont+F3" w:hAnsi="Arial" w:cs="Arial"/>
          <w:sz w:val="36"/>
          <w:szCs w:val="36"/>
          <w:lang w:val="en-US"/>
        </w:rPr>
        <w:t xml:space="preserve"> </w:t>
      </w:r>
      <w:r w:rsidRPr="0079669D">
        <w:rPr>
          <w:rFonts w:ascii="Arial" w:eastAsia="CIDFont+F3" w:hAnsi="Arial" w:cs="Arial"/>
          <w:sz w:val="36"/>
          <w:szCs w:val="36"/>
          <w:lang w:val="en-US"/>
        </w:rPr>
        <w:t xml:space="preserve">to the public </w:t>
      </w:r>
    </w:p>
    <w:p w:rsidR="0079669D" w:rsidRDefault="0079669D" w:rsidP="00796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sz w:val="36"/>
          <w:szCs w:val="36"/>
          <w:lang w:val="en-US"/>
        </w:rPr>
      </w:pPr>
      <w:proofErr w:type="gramStart"/>
      <w:r w:rsidRPr="0079669D">
        <w:rPr>
          <w:rFonts w:ascii="Arial" w:eastAsia="CIDFont+F3" w:hAnsi="Arial" w:cs="Arial"/>
          <w:sz w:val="36"/>
          <w:szCs w:val="36"/>
          <w:lang w:val="en-US"/>
        </w:rPr>
        <w:t>on</w:t>
      </w:r>
      <w:proofErr w:type="gramEnd"/>
      <w:r w:rsidRPr="0079669D">
        <w:rPr>
          <w:rFonts w:ascii="Arial" w:eastAsia="CIDFont+F3" w:hAnsi="Arial" w:cs="Arial"/>
          <w:sz w:val="36"/>
          <w:szCs w:val="36"/>
          <w:lang w:val="en-US"/>
        </w:rPr>
        <w:t xml:space="preserve"> the </w:t>
      </w:r>
      <w:proofErr w:type="spellStart"/>
      <w:r w:rsidRPr="0079669D">
        <w:rPr>
          <w:rFonts w:ascii="Arial" w:eastAsia="CIDFont+F3" w:hAnsi="Arial" w:cs="Arial"/>
          <w:sz w:val="36"/>
          <w:szCs w:val="36"/>
          <w:lang w:val="en-US"/>
        </w:rPr>
        <w:t>Rotonde</w:t>
      </w:r>
      <w:proofErr w:type="spellEnd"/>
      <w:r w:rsidRPr="0079669D">
        <w:rPr>
          <w:rFonts w:ascii="Arial" w:eastAsia="CIDFont+F3" w:hAnsi="Arial" w:cs="Arial"/>
          <w:sz w:val="36"/>
          <w:szCs w:val="36"/>
          <w:lang w:val="en-US"/>
        </w:rPr>
        <w:t xml:space="preserve"> du Mont</w:t>
      </w:r>
      <w:r w:rsidRPr="0079669D">
        <w:rPr>
          <w:rFonts w:ascii="Cambria Math" w:eastAsia="CIDFont+F3" w:hAnsi="Cambria Math" w:cs="Cambria Math"/>
          <w:sz w:val="36"/>
          <w:szCs w:val="36"/>
          <w:lang w:val="en-US"/>
        </w:rPr>
        <w:t>‐</w:t>
      </w:r>
      <w:r w:rsidRPr="0079669D">
        <w:rPr>
          <w:rFonts w:ascii="Arial" w:eastAsia="CIDFont+F3" w:hAnsi="Arial" w:cs="Arial"/>
          <w:sz w:val="36"/>
          <w:szCs w:val="36"/>
          <w:lang w:val="en-US"/>
        </w:rPr>
        <w:t>Blanc.</w:t>
      </w:r>
    </w:p>
    <w:p w:rsidR="0079669D" w:rsidRPr="0079669D" w:rsidRDefault="0079669D" w:rsidP="00796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sz w:val="36"/>
          <w:szCs w:val="36"/>
          <w:lang w:val="en-US"/>
        </w:rPr>
      </w:pPr>
    </w:p>
    <w:p w:rsidR="0079669D" w:rsidRPr="0079669D" w:rsidRDefault="0079669D" w:rsidP="00796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sz w:val="28"/>
          <w:szCs w:val="28"/>
          <w:lang w:val="en-US"/>
        </w:rPr>
      </w:pPr>
      <w:r w:rsidRPr="0079669D">
        <w:rPr>
          <w:rFonts w:ascii="Arial" w:eastAsia="CIDFont+F3" w:hAnsi="Arial" w:cs="Arial"/>
          <w:sz w:val="28"/>
          <w:szCs w:val="28"/>
          <w:lang w:val="en-US"/>
        </w:rPr>
        <w:t xml:space="preserve">Geneva, from August </w:t>
      </w:r>
      <w:proofErr w:type="gramStart"/>
      <w:r w:rsidRPr="0079669D">
        <w:rPr>
          <w:rFonts w:ascii="Arial" w:eastAsia="CIDFont+F3" w:hAnsi="Arial" w:cs="Arial"/>
          <w:sz w:val="28"/>
          <w:szCs w:val="28"/>
          <w:lang w:val="en-US"/>
        </w:rPr>
        <w:t>30th</w:t>
      </w:r>
      <w:proofErr w:type="gramEnd"/>
      <w:r w:rsidRPr="0079669D">
        <w:rPr>
          <w:rFonts w:ascii="Arial" w:eastAsia="CIDFont+F3" w:hAnsi="Arial" w:cs="Arial"/>
          <w:sz w:val="28"/>
          <w:szCs w:val="28"/>
          <w:lang w:val="en-US"/>
        </w:rPr>
        <w:t xml:space="preserve"> to September 3rd 2021</w:t>
      </w:r>
    </w:p>
    <w:p w:rsid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</w:p>
    <w:p w:rsid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  <w:r w:rsidRPr="0079669D">
        <w:rPr>
          <w:rFonts w:ascii="Arial" w:eastAsia="CIDFont+F4" w:hAnsi="Arial" w:cs="Arial"/>
          <w:sz w:val="21"/>
          <w:szCs w:val="21"/>
          <w:lang w:val="en-US"/>
        </w:rPr>
        <w:t>Several additional brands have joined Geneva Watch Days 2021, offeri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ng clients and media a wide and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varied spectrum of watch creations, from all segments of the industry.</w:t>
      </w:r>
    </w:p>
    <w:p w:rsidR="0079669D" w:rsidRP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</w:p>
    <w:p w:rsid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  <w:r w:rsidRPr="0079669D">
        <w:rPr>
          <w:rFonts w:ascii="Arial" w:eastAsia="CIDFont+F4" w:hAnsi="Arial" w:cs="Arial"/>
          <w:sz w:val="21"/>
          <w:szCs w:val="21"/>
          <w:lang w:val="en-US"/>
        </w:rPr>
        <w:t>The event reflects the spirit of Geneva Watch Days: inclusive and unifying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, agile and friendly, </w:t>
      </w:r>
      <w:proofErr w:type="gramStart"/>
      <w:r>
        <w:rPr>
          <w:rFonts w:ascii="Arial" w:eastAsia="CIDFont+F4" w:hAnsi="Arial" w:cs="Arial"/>
          <w:sz w:val="21"/>
          <w:szCs w:val="21"/>
          <w:lang w:val="en-US"/>
        </w:rPr>
        <w:t xml:space="preserve">above and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beyond</w:t>
      </w:r>
      <w:proofErr w:type="gramEnd"/>
      <w:r w:rsidRPr="0079669D">
        <w:rPr>
          <w:rFonts w:ascii="Arial" w:eastAsia="CIDFont+F4" w:hAnsi="Arial" w:cs="Arial"/>
          <w:sz w:val="21"/>
          <w:szCs w:val="21"/>
          <w:lang w:val="en-US"/>
        </w:rPr>
        <w:t xml:space="preserve"> turf wars. This format catalyzes the demand of the current market and the industry, combining face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to</w:t>
      </w:r>
      <w:r w:rsidRPr="0079669D">
        <w:rPr>
          <w:rFonts w:ascii="Cambria Math" w:eastAsia="CIDFont+F4" w:hAnsi="Cambria Math" w:cs="Cambria Math"/>
          <w:sz w:val="21"/>
          <w:szCs w:val="21"/>
          <w:lang w:val="en-US"/>
        </w:rPr>
        <w:t>‐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face and digital in a spirit of conviviality and openness. It certainly augurs wel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l for the future of watchmaking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events.</w:t>
      </w:r>
    </w:p>
    <w:p w:rsidR="0079669D" w:rsidRP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</w:p>
    <w:p w:rsid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  <w:r w:rsidRPr="0079669D">
        <w:rPr>
          <w:rFonts w:ascii="Arial" w:eastAsia="CIDFont+F4" w:hAnsi="Arial" w:cs="Arial"/>
          <w:sz w:val="21"/>
          <w:szCs w:val="21"/>
          <w:lang w:val="en-US"/>
        </w:rPr>
        <w:t>Initial informal feedback is confirming an increased physical presence compa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red to last year, thanks to the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 xml:space="preserve">positive impact of vaccination campaigns in Europe and North America. While each of the </w:t>
      </w:r>
      <w:proofErr w:type="spellStart"/>
      <w:r w:rsidRPr="0079669D">
        <w:rPr>
          <w:rFonts w:ascii="Arial" w:eastAsia="CIDFont+F4" w:hAnsi="Arial" w:cs="Arial"/>
          <w:sz w:val="21"/>
          <w:szCs w:val="21"/>
          <w:lang w:val="en-US"/>
        </w:rPr>
        <w:t>M</w:t>
      </w:r>
      <w:r>
        <w:rPr>
          <w:rFonts w:ascii="Arial" w:eastAsia="CIDFont+F4" w:hAnsi="Arial" w:cs="Arial"/>
          <w:sz w:val="21"/>
          <w:szCs w:val="21"/>
          <w:lang w:val="en-US"/>
        </w:rPr>
        <w:t>aisons</w:t>
      </w:r>
      <w:proofErr w:type="spellEnd"/>
      <w:r>
        <w:rPr>
          <w:rFonts w:ascii="Arial" w:eastAsia="CIDFont+F4" w:hAnsi="Arial" w:cs="Arial"/>
          <w:sz w:val="21"/>
          <w:szCs w:val="21"/>
          <w:lang w:val="en-US"/>
        </w:rPr>
        <w:t xml:space="preserve"> will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present its new products to the press and customers in its own space – Boutique, Manufacture or Hotel –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and by appointment only, this initiative will constitute one of the few major multi</w:t>
      </w:r>
      <w:r w:rsidRPr="0079669D">
        <w:rPr>
          <w:rFonts w:ascii="Cambria Math" w:eastAsia="CIDFont+F4" w:hAnsi="Cambria Math" w:cs="Cambria Math"/>
          <w:sz w:val="21"/>
          <w:szCs w:val="21"/>
          <w:lang w:val="en-US"/>
        </w:rPr>
        <w:t>‐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brand watch events of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2021.</w:t>
      </w:r>
    </w:p>
    <w:p w:rsidR="0079669D" w:rsidRP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</w:p>
    <w:p w:rsidR="0079669D" w:rsidRP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  <w:r w:rsidRPr="0079669D">
        <w:rPr>
          <w:rFonts w:ascii="Arial" w:eastAsia="CIDFont+F4" w:hAnsi="Arial" w:cs="Arial"/>
          <w:sz w:val="21"/>
          <w:szCs w:val="21"/>
          <w:lang w:val="en-US"/>
        </w:rPr>
        <w:t xml:space="preserve">A common area, larger than in 2020 and set up on the </w:t>
      </w:r>
      <w:proofErr w:type="spellStart"/>
      <w:r w:rsidRPr="0079669D">
        <w:rPr>
          <w:rFonts w:ascii="Arial" w:eastAsia="CIDFont+F4" w:hAnsi="Arial" w:cs="Arial"/>
          <w:sz w:val="21"/>
          <w:szCs w:val="21"/>
          <w:lang w:val="en-US"/>
        </w:rPr>
        <w:t>Rotonde</w:t>
      </w:r>
      <w:proofErr w:type="spellEnd"/>
      <w:r w:rsidRPr="0079669D">
        <w:rPr>
          <w:rFonts w:ascii="Arial" w:eastAsia="CIDFont+F4" w:hAnsi="Arial" w:cs="Arial"/>
          <w:sz w:val="21"/>
          <w:szCs w:val="21"/>
          <w:lang w:val="en-US"/>
        </w:rPr>
        <w:t xml:space="preserve"> du Mont</w:t>
      </w:r>
      <w:r w:rsidRPr="0079669D">
        <w:rPr>
          <w:rFonts w:ascii="Cambria Math" w:eastAsia="CIDFont+F4" w:hAnsi="Cambria Math" w:cs="Cambria Math"/>
          <w:sz w:val="21"/>
          <w:szCs w:val="21"/>
          <w:lang w:val="en-US"/>
        </w:rPr>
        <w:t>‐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Bl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anc, will be the rallying point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open to the public: the participating brands will exhibit their creations there, while newcomer</w:t>
      </w:r>
    </w:p>
    <w:p w:rsidR="0079669D" w:rsidRP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  <w:r w:rsidRPr="0079669D">
        <w:rPr>
          <w:rFonts w:ascii="Arial" w:eastAsia="CIDFont+F4" w:hAnsi="Arial" w:cs="Arial"/>
          <w:sz w:val="21"/>
          <w:szCs w:val="21"/>
          <w:lang w:val="en-US"/>
        </w:rPr>
        <w:t xml:space="preserve">Phillips in Association with Bacs &amp; Russo, the leading auction house in the field of 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horology, will also present.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In addition to an exhibition of the key pieces from its upcoming November sale in</w:t>
      </w:r>
    </w:p>
    <w:p w:rsid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  <w:r w:rsidRPr="0079669D">
        <w:rPr>
          <w:rFonts w:ascii="Arial" w:eastAsia="CIDFont+F4" w:hAnsi="Arial" w:cs="Arial"/>
          <w:sz w:val="21"/>
          <w:szCs w:val="21"/>
          <w:lang w:val="en-US"/>
        </w:rPr>
        <w:t>Geneva, its experts will be available for estimates and valuations.</w:t>
      </w:r>
    </w:p>
    <w:p w:rsidR="0079669D" w:rsidRP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</w:p>
    <w:p w:rsid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  <w:r w:rsidRPr="0079669D">
        <w:rPr>
          <w:rFonts w:ascii="Arial" w:eastAsia="CIDFont+F4" w:hAnsi="Arial" w:cs="Arial"/>
          <w:sz w:val="21"/>
          <w:szCs w:val="21"/>
          <w:lang w:val="en-US"/>
        </w:rPr>
        <w:t>The show will be both face</w:t>
      </w:r>
      <w:r w:rsidRPr="0079669D">
        <w:rPr>
          <w:rFonts w:ascii="Cambria Math" w:eastAsia="CIDFont+F4" w:hAnsi="Cambria Math" w:cs="Cambria Math"/>
          <w:sz w:val="21"/>
          <w:szCs w:val="21"/>
          <w:lang w:val="en-US"/>
        </w:rPr>
        <w:t>‐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to</w:t>
      </w:r>
      <w:r w:rsidRPr="0079669D">
        <w:rPr>
          <w:rFonts w:ascii="Cambria Math" w:eastAsia="CIDFont+F4" w:hAnsi="Cambria Math" w:cs="Cambria Math"/>
          <w:sz w:val="21"/>
          <w:szCs w:val="21"/>
          <w:lang w:val="en-US"/>
        </w:rPr>
        <w:t>‐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 xml:space="preserve">face and digital to enable clients and media – 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who may still be facing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public health</w:t>
      </w:r>
      <w:r w:rsidRPr="0079669D">
        <w:rPr>
          <w:rFonts w:ascii="Cambria Math" w:eastAsia="CIDFont+F4" w:hAnsi="Cambria Math" w:cs="Cambria Math"/>
          <w:sz w:val="21"/>
          <w:szCs w:val="21"/>
          <w:lang w:val="en-US"/>
        </w:rPr>
        <w:t>‐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related travel restrictions in certain countries – to discover t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he new products in real time by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means of video</w:t>
      </w:r>
      <w:r w:rsidRPr="0079669D">
        <w:rPr>
          <w:rFonts w:ascii="Cambria Math" w:eastAsia="CIDFont+F4" w:hAnsi="Cambria Math" w:cs="Cambria Math"/>
          <w:sz w:val="21"/>
          <w:szCs w:val="21"/>
          <w:lang w:val="en-US"/>
        </w:rPr>
        <w:t>‐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conferencing technologies. This happening will therefore be international in scope.</w:t>
      </w:r>
    </w:p>
    <w:p w:rsidR="0079669D" w:rsidRP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</w:p>
    <w:p w:rsidR="0079669D" w:rsidRP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  <w:r w:rsidRPr="0079669D">
        <w:rPr>
          <w:rFonts w:ascii="Arial" w:eastAsia="CIDFont+F4" w:hAnsi="Arial" w:cs="Arial"/>
          <w:sz w:val="21"/>
          <w:szCs w:val="21"/>
          <w:lang w:val="en-US"/>
        </w:rPr>
        <w:t>In addition to the respective exhibitions during the day, Geneva Watch Day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s will also be celebrating this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four</w:t>
      </w:r>
      <w:r w:rsidRPr="0079669D">
        <w:rPr>
          <w:rFonts w:ascii="Cambria Math" w:eastAsia="CIDFont+F4" w:hAnsi="Cambria Math" w:cs="Cambria Math"/>
          <w:sz w:val="21"/>
          <w:szCs w:val="21"/>
          <w:lang w:val="en-US"/>
        </w:rPr>
        <w:t>‐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day event in the evening, with several festive moments exclusively reserve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d for clients of the officially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associated brands as well as media representatives, in strict compli</w:t>
      </w:r>
      <w:r>
        <w:rPr>
          <w:rFonts w:ascii="Arial" w:eastAsia="CIDFont+F4" w:hAnsi="Arial" w:cs="Arial"/>
          <w:sz w:val="21"/>
          <w:szCs w:val="21"/>
          <w:lang w:val="en-US"/>
        </w:rPr>
        <w:t xml:space="preserve">ance with the prevailing health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precautions.</w:t>
      </w:r>
    </w:p>
    <w:p w:rsid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  <w:r w:rsidRPr="0079669D">
        <w:rPr>
          <w:rFonts w:ascii="Arial" w:eastAsia="CIDFont+F4" w:hAnsi="Arial" w:cs="Arial"/>
          <w:sz w:val="21"/>
          <w:szCs w:val="21"/>
          <w:lang w:val="en-US"/>
        </w:rPr>
        <w:t xml:space="preserve">Geneva Watch Days 2021 </w:t>
      </w:r>
      <w:proofErr w:type="gramStart"/>
      <w:r w:rsidRPr="0079669D">
        <w:rPr>
          <w:rFonts w:ascii="Arial" w:eastAsia="CIDFont+F4" w:hAnsi="Arial" w:cs="Arial"/>
          <w:sz w:val="21"/>
          <w:szCs w:val="21"/>
          <w:lang w:val="en-US"/>
        </w:rPr>
        <w:t>is officially supported</w:t>
      </w:r>
      <w:proofErr w:type="gramEnd"/>
      <w:r w:rsidRPr="0079669D">
        <w:rPr>
          <w:rFonts w:ascii="Arial" w:eastAsia="CIDFont+F4" w:hAnsi="Arial" w:cs="Arial"/>
          <w:sz w:val="21"/>
          <w:szCs w:val="21"/>
          <w:lang w:val="en-US"/>
        </w:rPr>
        <w:t xml:space="preserve"> by the State and City of Geneva.</w:t>
      </w:r>
    </w:p>
    <w:p w:rsidR="0079669D" w:rsidRP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sz w:val="21"/>
          <w:szCs w:val="21"/>
          <w:lang w:val="en-US"/>
        </w:rPr>
      </w:pPr>
    </w:p>
    <w:p w:rsidR="00A541CE" w:rsidRPr="0079669D" w:rsidRDefault="0079669D" w:rsidP="0079669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1"/>
          <w:szCs w:val="21"/>
          <w:lang w:val="en-US"/>
        </w:rPr>
      </w:pPr>
      <w:proofErr w:type="gramStart"/>
      <w:r w:rsidRPr="0079669D">
        <w:rPr>
          <w:rFonts w:ascii="Arial" w:eastAsia="CIDFont+F4" w:hAnsi="Arial" w:cs="Arial"/>
          <w:sz w:val="21"/>
          <w:szCs w:val="21"/>
          <w:lang w:val="en-US"/>
        </w:rPr>
        <w:t xml:space="preserve">This initiative was launched by a pool of Founder Benefactor brands including </w:t>
      </w:r>
      <w:r>
        <w:rPr>
          <w:rFonts w:ascii="Arial" w:eastAsia="CIDFont+F2" w:hAnsi="Arial" w:cs="Arial"/>
          <w:sz w:val="21"/>
          <w:szCs w:val="21"/>
          <w:lang w:val="en-US"/>
        </w:rPr>
        <w:t xml:space="preserve">Bvlgari, Breitling, De </w:t>
      </w:r>
      <w:r w:rsidRPr="0079669D">
        <w:rPr>
          <w:rFonts w:ascii="Arial" w:eastAsia="CIDFont+F2" w:hAnsi="Arial" w:cs="Arial"/>
          <w:sz w:val="21"/>
          <w:szCs w:val="21"/>
          <w:lang w:val="en-US"/>
        </w:rPr>
        <w:t xml:space="preserve">Bethune, Gerald 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Genta</w:t>
      </w:r>
      <w:proofErr w:type="spellEnd"/>
      <w:r w:rsidRPr="0079669D">
        <w:rPr>
          <w:rFonts w:ascii="Arial" w:eastAsia="CIDFont+F2" w:hAnsi="Arial" w:cs="Arial"/>
          <w:sz w:val="21"/>
          <w:szCs w:val="21"/>
          <w:lang w:val="en-US"/>
        </w:rPr>
        <w:t>, Girard</w:t>
      </w:r>
      <w:r w:rsidRPr="0079669D">
        <w:rPr>
          <w:rFonts w:ascii="Cambria Math" w:eastAsia="CIDFont+F2" w:hAnsi="Cambria Math" w:cs="Cambria Math"/>
          <w:sz w:val="21"/>
          <w:szCs w:val="21"/>
          <w:lang w:val="en-US"/>
        </w:rPr>
        <w:t>‐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Perregaux</w:t>
      </w:r>
      <w:proofErr w:type="spellEnd"/>
      <w:r w:rsidRPr="0079669D">
        <w:rPr>
          <w:rFonts w:ascii="Arial" w:eastAsia="CIDFont+F2" w:hAnsi="Arial" w:cs="Arial"/>
          <w:sz w:val="21"/>
          <w:szCs w:val="21"/>
          <w:lang w:val="en-US"/>
        </w:rPr>
        <w:t xml:space="preserve">, H. Moser &amp; 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Cie</w:t>
      </w:r>
      <w:proofErr w:type="spellEnd"/>
      <w:r w:rsidRPr="0079669D">
        <w:rPr>
          <w:rFonts w:ascii="Arial" w:eastAsia="CIDFont+F2" w:hAnsi="Arial" w:cs="Arial"/>
          <w:sz w:val="21"/>
          <w:szCs w:val="21"/>
          <w:lang w:val="en-US"/>
        </w:rPr>
        <w:t xml:space="preserve">, MB&amp;F, 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Ulysse</w:t>
      </w:r>
      <w:proofErr w:type="spellEnd"/>
      <w:r w:rsidRPr="0079669D">
        <w:rPr>
          <w:rFonts w:ascii="Arial" w:eastAsia="CIDFont+F2" w:hAnsi="Arial" w:cs="Arial"/>
          <w:sz w:val="21"/>
          <w:szCs w:val="21"/>
          <w:lang w:val="en-US"/>
        </w:rPr>
        <w:t xml:space="preserve"> 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Nardin</w:t>
      </w:r>
      <w:proofErr w:type="spellEnd"/>
      <w:r w:rsidRPr="0079669D">
        <w:rPr>
          <w:rFonts w:ascii="Arial" w:eastAsia="CIDFont+F2" w:hAnsi="Arial" w:cs="Arial"/>
          <w:sz w:val="21"/>
          <w:szCs w:val="21"/>
          <w:lang w:val="en-US"/>
        </w:rPr>
        <w:t xml:space="preserve">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 xml:space="preserve">and 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Urwerk</w:t>
      </w:r>
      <w:proofErr w:type="spellEnd"/>
      <w:r w:rsidRPr="0079669D">
        <w:rPr>
          <w:rFonts w:ascii="Arial" w:eastAsia="CIDFont+F4" w:hAnsi="Arial" w:cs="Arial"/>
          <w:sz w:val="21"/>
          <w:szCs w:val="21"/>
          <w:lang w:val="en-US"/>
        </w:rPr>
        <w:t>, who have</w:t>
      </w:r>
      <w:r>
        <w:rPr>
          <w:rFonts w:ascii="Arial" w:eastAsia="CIDFont+F2" w:hAnsi="Arial" w:cs="Arial"/>
          <w:sz w:val="21"/>
          <w:szCs w:val="21"/>
          <w:lang w:val="en-US"/>
        </w:rPr>
        <w:t xml:space="preserve">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>formed a non</w:t>
      </w:r>
      <w:r w:rsidRPr="0079669D">
        <w:rPr>
          <w:rFonts w:ascii="Cambria Math" w:eastAsia="CIDFont+F4" w:hAnsi="Cambria Math" w:cs="Cambria Math"/>
          <w:sz w:val="21"/>
          <w:szCs w:val="21"/>
          <w:lang w:val="en-US"/>
        </w:rPr>
        <w:t>‐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 xml:space="preserve">profit Association, alongside Associate brands: </w:t>
      </w:r>
      <w:r w:rsidRPr="0079669D">
        <w:rPr>
          <w:rFonts w:ascii="Arial" w:eastAsia="CIDFont+F2" w:hAnsi="Arial" w:cs="Arial"/>
          <w:sz w:val="21"/>
          <w:szCs w:val="21"/>
          <w:lang w:val="en-US"/>
        </w:rPr>
        <w:t>Arnold</w:t>
      </w:r>
      <w:r>
        <w:rPr>
          <w:rFonts w:ascii="Arial" w:eastAsia="CIDFont+F2" w:hAnsi="Arial" w:cs="Arial"/>
          <w:sz w:val="21"/>
          <w:szCs w:val="21"/>
          <w:lang w:val="en-US"/>
        </w:rPr>
        <w:t xml:space="preserve"> &amp; Son, Bianchet, </w:t>
      </w:r>
      <w:proofErr w:type="spellStart"/>
      <w:r>
        <w:rPr>
          <w:rFonts w:ascii="Arial" w:eastAsia="CIDFont+F2" w:hAnsi="Arial" w:cs="Arial"/>
          <w:sz w:val="21"/>
          <w:szCs w:val="21"/>
          <w:lang w:val="en-US"/>
        </w:rPr>
        <w:t>Czapek</w:t>
      </w:r>
      <w:proofErr w:type="spellEnd"/>
      <w:r>
        <w:rPr>
          <w:rFonts w:ascii="Arial" w:eastAsia="CIDFont+F2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CIDFont+F2" w:hAnsi="Arial" w:cs="Arial"/>
          <w:sz w:val="21"/>
          <w:szCs w:val="21"/>
          <w:lang w:val="en-US"/>
        </w:rPr>
        <w:t>Doxa</w:t>
      </w:r>
      <w:proofErr w:type="spellEnd"/>
      <w:r>
        <w:rPr>
          <w:rFonts w:ascii="Arial" w:eastAsia="CIDFont+F2" w:hAnsi="Arial" w:cs="Arial"/>
          <w:sz w:val="21"/>
          <w:szCs w:val="21"/>
          <w:lang w:val="en-US"/>
        </w:rPr>
        <w:t xml:space="preserve">, </w:t>
      </w:r>
      <w:r w:rsidRPr="0079669D">
        <w:rPr>
          <w:rFonts w:ascii="Arial" w:eastAsia="CIDFont+F2" w:hAnsi="Arial" w:cs="Arial"/>
          <w:sz w:val="21"/>
          <w:szCs w:val="21"/>
          <w:lang w:val="en-US"/>
        </w:rPr>
        <w:t xml:space="preserve">Ferdinand Berthoud, Frederique Constant Group, 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Greubel</w:t>
      </w:r>
      <w:proofErr w:type="spellEnd"/>
      <w:r w:rsidRPr="0079669D">
        <w:rPr>
          <w:rFonts w:ascii="Arial" w:eastAsia="CIDFont+F2" w:hAnsi="Arial" w:cs="Arial"/>
          <w:sz w:val="21"/>
          <w:szCs w:val="21"/>
          <w:lang w:val="en-US"/>
        </w:rPr>
        <w:t xml:space="preserve"> 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Forsey</w:t>
      </w:r>
      <w:proofErr w:type="spellEnd"/>
      <w:r w:rsidRPr="0079669D">
        <w:rPr>
          <w:rFonts w:ascii="Arial" w:eastAsia="CIDFont+F2" w:hAnsi="Arial" w:cs="Arial"/>
          <w:sz w:val="21"/>
          <w:szCs w:val="21"/>
          <w:lang w:val="en-US"/>
        </w:rPr>
        <w:t xml:space="preserve">, Konstantin 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Tchaykin</w:t>
      </w:r>
      <w:proofErr w:type="spellEnd"/>
      <w:r w:rsidRPr="0079669D">
        <w:rPr>
          <w:rFonts w:ascii="Arial" w:eastAsia="CIDFont+F2" w:hAnsi="Arial" w:cs="Arial"/>
          <w:sz w:val="21"/>
          <w:szCs w:val="21"/>
          <w:lang w:val="en-US"/>
        </w:rPr>
        <w:t>,</w:t>
      </w:r>
      <w:r>
        <w:rPr>
          <w:rFonts w:ascii="Arial" w:eastAsia="CIDFont+F2" w:hAnsi="Arial" w:cs="Arial"/>
          <w:sz w:val="21"/>
          <w:szCs w:val="21"/>
          <w:lang w:val="en-US"/>
        </w:rPr>
        <w:t xml:space="preserve"> Louis Erard, </w:t>
      </w:r>
      <w:r w:rsidRPr="0079669D">
        <w:rPr>
          <w:rFonts w:ascii="Arial" w:eastAsia="CIDFont+F2" w:hAnsi="Arial" w:cs="Arial"/>
          <w:sz w:val="21"/>
          <w:szCs w:val="21"/>
          <w:lang w:val="en-US"/>
        </w:rPr>
        <w:t xml:space="preserve">Maurice Lacroix, 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Oris</w:t>
      </w:r>
      <w:proofErr w:type="spellEnd"/>
      <w:r w:rsidRPr="0079669D">
        <w:rPr>
          <w:rFonts w:ascii="Arial" w:eastAsia="CIDFont+F2" w:hAnsi="Arial" w:cs="Arial"/>
          <w:sz w:val="21"/>
          <w:szCs w:val="21"/>
          <w:lang w:val="en-US"/>
        </w:rPr>
        <w:t xml:space="preserve">, 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Parmigiani</w:t>
      </w:r>
      <w:proofErr w:type="spellEnd"/>
      <w:r>
        <w:rPr>
          <w:rFonts w:ascii="Arial" w:eastAsia="CIDFont+F2" w:hAnsi="Arial" w:cs="Arial"/>
          <w:sz w:val="21"/>
          <w:szCs w:val="21"/>
          <w:lang w:val="en-US"/>
        </w:rPr>
        <w:t xml:space="preserve"> Fleurier</w:t>
      </w:r>
      <w:bookmarkStart w:id="0" w:name="_GoBack"/>
      <w:bookmarkEnd w:id="0"/>
      <w:r w:rsidRPr="0079669D">
        <w:rPr>
          <w:rFonts w:ascii="Arial" w:eastAsia="CIDFont+F2" w:hAnsi="Arial" w:cs="Arial"/>
          <w:sz w:val="21"/>
          <w:szCs w:val="21"/>
          <w:lang w:val="en-US"/>
        </w:rPr>
        <w:t xml:space="preserve">, Phillips in Association with Bacs &amp; Russo, 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Raketa</w:t>
      </w:r>
      <w:proofErr w:type="spellEnd"/>
      <w:r w:rsidRPr="0079669D">
        <w:rPr>
          <w:rFonts w:ascii="Arial" w:eastAsia="CIDFont+F2" w:hAnsi="Arial" w:cs="Arial"/>
          <w:sz w:val="21"/>
          <w:szCs w:val="21"/>
          <w:lang w:val="en-US"/>
        </w:rPr>
        <w:t xml:space="preserve"> </w:t>
      </w:r>
      <w:r w:rsidRPr="0079669D">
        <w:rPr>
          <w:rFonts w:ascii="Arial" w:eastAsia="CIDFont+F4" w:hAnsi="Arial" w:cs="Arial"/>
          <w:sz w:val="21"/>
          <w:szCs w:val="21"/>
          <w:lang w:val="en-US"/>
        </w:rPr>
        <w:t xml:space="preserve">and </w:t>
      </w:r>
      <w:proofErr w:type="spellStart"/>
      <w:r w:rsidRPr="0079669D">
        <w:rPr>
          <w:rFonts w:ascii="Arial" w:eastAsia="CIDFont+F2" w:hAnsi="Arial" w:cs="Arial"/>
          <w:sz w:val="21"/>
          <w:szCs w:val="21"/>
          <w:lang w:val="en-US"/>
        </w:rPr>
        <w:t>Reuge</w:t>
      </w:r>
      <w:proofErr w:type="spellEnd"/>
      <w:r w:rsidRPr="0079669D">
        <w:rPr>
          <w:rFonts w:ascii="Arial" w:eastAsia="CIDFont+F4" w:hAnsi="Arial" w:cs="Arial"/>
          <w:sz w:val="21"/>
          <w:szCs w:val="21"/>
          <w:lang w:val="en-US"/>
        </w:rPr>
        <w:t>.</w:t>
      </w:r>
      <w:proofErr w:type="gramEnd"/>
    </w:p>
    <w:sectPr w:rsidR="00A541CE" w:rsidRPr="0079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9D"/>
    <w:rsid w:val="0079669D"/>
    <w:rsid w:val="00A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80A5"/>
  <w15:chartTrackingRefBased/>
  <w15:docId w15:val="{7AA5EDAD-D287-4F89-9416-BDEA905E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Bulgari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Eberle-Devaux</dc:creator>
  <cp:keywords/>
  <dc:description/>
  <cp:lastModifiedBy>Catherine Eberle-Devaux</cp:lastModifiedBy>
  <cp:revision>1</cp:revision>
  <dcterms:created xsi:type="dcterms:W3CDTF">2021-07-13T11:13:00Z</dcterms:created>
  <dcterms:modified xsi:type="dcterms:W3CDTF">2021-07-13T11:15:00Z</dcterms:modified>
</cp:coreProperties>
</file>