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0" w:after="300" w:line="240"/>
        <w:ind w:right="0" w:left="0" w:firstLine="0"/>
        <w:jc w:val="left"/>
        <w:rPr>
          <w:rFonts w:ascii="Helvetica Neue" w:hAnsi="Helvetica Neue" w:cs="Helvetica Neue" w:eastAsia="Helvetica Neue"/>
          <w:color w:val="666666"/>
          <w:spacing w:val="0"/>
          <w:position w:val="0"/>
          <w:sz w:val="54"/>
          <w:shd w:fill="FFFFFF" w:val="clear"/>
        </w:rPr>
      </w:pPr>
      <w:r>
        <w:rPr>
          <w:rFonts w:ascii="Helvetica Neue" w:hAnsi="Helvetica Neue" w:cs="Helvetica Neue" w:eastAsia="Helvetica Neue"/>
          <w:color w:val="666666"/>
          <w:spacing w:val="0"/>
          <w:position w:val="0"/>
          <w:sz w:val="54"/>
          <w:shd w:fill="FFFFFF" w:val="clear"/>
        </w:rPr>
        <w:t xml:space="preserve">Mentions légales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 social et forme juridique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Adresse postale du siège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Numéro et ville du RCS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Registre du commerce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Numéro de TVA intracommunautaire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Numéro de téléphone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:XXXX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Adresse courriel 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Direction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Directeur de la publication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Chargé de la protection des mineurs selon § 7 JMStV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Capital Social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 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vertu de l’article 14, al. 1 du règlement européen n° 524/2013 du 21 mai 2013 relatif au RELC, la Commission Européenne met à la disposition des consommateurs une plateforme en ligne de règlement des litiges disponible à cette adresse: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http://ec.europa.eu/consumers/odr/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Hébergeur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ec.europa.eu/consumers/od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