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589D" w14:textId="50386009" w:rsidR="006D2445" w:rsidRDefault="006D2445" w:rsidP="006D2445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>
        <w:rPr>
          <w:noProof/>
        </w:rPr>
        <w:drawing>
          <wp:inline distT="0" distB="0" distL="0" distR="0" wp14:anchorId="36F6B792" wp14:editId="7E5F9561">
            <wp:extent cx="15811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3C6E0" w14:textId="7602653A" w:rsidR="002C3B9D" w:rsidRPr="005D1DFC" w:rsidRDefault="00C7091B" w:rsidP="002C3B9D">
      <w:pPr>
        <w:shd w:val="clear" w:color="auto" w:fill="FFFFFF"/>
        <w:spacing w:before="300" w:after="300" w:line="240" w:lineRule="auto"/>
        <w:textAlignment w:val="baseline"/>
        <w:rPr>
          <w:rFonts w:ascii="Century Gothic" w:eastAsia="Times New Roman" w:hAnsi="Century Gothic" w:cs="Arial"/>
          <w:b/>
          <w:bCs/>
          <w:sz w:val="32"/>
          <w:szCs w:val="32"/>
          <w:lang w:eastAsia="en-GB"/>
        </w:rPr>
      </w:pPr>
      <w:bookmarkStart w:id="0" w:name="_Hlk62475080"/>
      <w:r w:rsidRPr="005D1DFC">
        <w:rPr>
          <w:rFonts w:ascii="Century Gothic" w:eastAsia="Times New Roman" w:hAnsi="Century Gothic" w:cs="Arial"/>
          <w:b/>
          <w:bCs/>
          <w:color w:val="FFC000" w:themeColor="accent4"/>
          <w:sz w:val="32"/>
          <w:szCs w:val="32"/>
          <w:lang w:eastAsia="en-GB"/>
        </w:rPr>
        <w:t>People</w:t>
      </w:r>
      <w:bookmarkEnd w:id="0"/>
      <w:r w:rsidRPr="005D1DFC">
        <w:rPr>
          <w:rFonts w:ascii="Century Gothic" w:eastAsia="Times New Roman" w:hAnsi="Century Gothic" w:cs="Arial"/>
          <w:b/>
          <w:bCs/>
          <w:color w:val="FFC000" w:themeColor="accent4"/>
          <w:sz w:val="32"/>
          <w:szCs w:val="32"/>
          <w:lang w:eastAsia="en-GB"/>
        </w:rPr>
        <w:t xml:space="preserve">: </w:t>
      </w:r>
      <w:r w:rsidR="00A975E6" w:rsidRPr="00A975E6">
        <w:rPr>
          <w:rFonts w:ascii="Century Gothic" w:eastAsia="Times New Roman" w:hAnsi="Century Gothic" w:cs="Arial"/>
          <w:b/>
          <w:bCs/>
          <w:sz w:val="32"/>
          <w:szCs w:val="32"/>
          <w:lang w:eastAsia="en-GB"/>
        </w:rPr>
        <w:t>Important C</w:t>
      </w:r>
      <w:r w:rsidR="00A975E6">
        <w:rPr>
          <w:rFonts w:ascii="Century Gothic" w:eastAsia="Times New Roman" w:hAnsi="Century Gothic" w:cs="Arial"/>
          <w:b/>
          <w:bCs/>
          <w:sz w:val="32"/>
          <w:szCs w:val="32"/>
          <w:lang w:eastAsia="en-GB"/>
        </w:rPr>
        <w:t>hanges in claiming furlough during Notice Periods</w:t>
      </w:r>
      <w:r w:rsidR="005D1DFC" w:rsidRPr="005D1DFC">
        <w:rPr>
          <w:rFonts w:ascii="Century Gothic" w:eastAsia="Times New Roman" w:hAnsi="Century Gothic" w:cs="Arial"/>
          <w:b/>
          <w:bCs/>
          <w:sz w:val="32"/>
          <w:szCs w:val="32"/>
          <w:lang w:eastAsia="en-GB"/>
        </w:rPr>
        <w:t xml:space="preserve"> </w:t>
      </w:r>
      <w:r w:rsidR="00FB108E">
        <w:rPr>
          <w:rFonts w:ascii="Century Gothic" w:eastAsia="Times New Roman" w:hAnsi="Century Gothic" w:cs="Arial"/>
          <w:b/>
          <w:bCs/>
          <w:sz w:val="32"/>
          <w:szCs w:val="32"/>
          <w:lang w:eastAsia="en-GB"/>
        </w:rPr>
        <w:t>– Effective 1</w:t>
      </w:r>
      <w:r w:rsidR="00FB108E" w:rsidRPr="00FB108E">
        <w:rPr>
          <w:rFonts w:ascii="Century Gothic" w:eastAsia="Times New Roman" w:hAnsi="Century Gothic" w:cs="Arial"/>
          <w:b/>
          <w:bCs/>
          <w:sz w:val="32"/>
          <w:szCs w:val="32"/>
          <w:vertAlign w:val="superscript"/>
          <w:lang w:eastAsia="en-GB"/>
        </w:rPr>
        <w:t>st</w:t>
      </w:r>
      <w:r w:rsidR="00FB108E">
        <w:rPr>
          <w:rFonts w:ascii="Century Gothic" w:eastAsia="Times New Roman" w:hAnsi="Century Gothic" w:cs="Arial"/>
          <w:b/>
          <w:bCs/>
          <w:sz w:val="32"/>
          <w:szCs w:val="32"/>
          <w:lang w:eastAsia="en-GB"/>
        </w:rPr>
        <w:t xml:space="preserve"> December 2020</w:t>
      </w:r>
    </w:p>
    <w:p w14:paraId="20FE335B" w14:textId="75CDB48A" w:rsidR="009845A2" w:rsidRDefault="009845A2" w:rsidP="002C3B9D">
      <w:pPr>
        <w:shd w:val="clear" w:color="auto" w:fill="FFFFFF"/>
        <w:spacing w:before="300" w:after="300" w:line="240" w:lineRule="auto"/>
        <w:textAlignment w:val="baseline"/>
        <w:rPr>
          <w:rFonts w:ascii="Century Gothic" w:eastAsia="Times New Roman" w:hAnsi="Century Gothic" w:cs="Arial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sz w:val="24"/>
          <w:szCs w:val="24"/>
          <w:lang w:eastAsia="en-GB"/>
        </w:rPr>
        <w:t>Whilst we suspected that being able to claim furlough for periods of notice was unlikely to continue, we can now confirm the current position.</w:t>
      </w:r>
    </w:p>
    <w:p w14:paraId="59E6EEF4" w14:textId="07D6FFBB" w:rsidR="00A975E6" w:rsidRDefault="009E4FC8" w:rsidP="002C3B9D">
      <w:pPr>
        <w:shd w:val="clear" w:color="auto" w:fill="FFFFFF"/>
        <w:spacing w:before="300" w:after="300" w:line="240" w:lineRule="auto"/>
        <w:textAlignment w:val="baseline"/>
        <w:rPr>
          <w:rFonts w:ascii="Century Gothic" w:eastAsia="Times New Roman" w:hAnsi="Century Gothic" w:cs="Arial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sz w:val="24"/>
          <w:szCs w:val="24"/>
          <w:lang w:eastAsia="en-GB"/>
        </w:rPr>
        <w:t>As suspected f</w:t>
      </w:r>
      <w:r w:rsidR="00A975E6">
        <w:rPr>
          <w:rFonts w:ascii="Century Gothic" w:eastAsia="Times New Roman" w:hAnsi="Century Gothic" w:cs="Arial"/>
          <w:sz w:val="24"/>
          <w:szCs w:val="24"/>
          <w:lang w:eastAsia="en-GB"/>
        </w:rPr>
        <w:t>ollowing the extension of the Furlough scheme there ha</w:t>
      </w:r>
      <w:r w:rsidR="00FB108E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ve </w:t>
      </w:r>
      <w:r w:rsidR="00A975E6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been </w:t>
      </w:r>
      <w:r w:rsidR="00FB108E">
        <w:rPr>
          <w:rFonts w:ascii="Century Gothic" w:eastAsia="Times New Roman" w:hAnsi="Century Gothic" w:cs="Arial"/>
          <w:sz w:val="24"/>
          <w:szCs w:val="24"/>
          <w:lang w:eastAsia="en-GB"/>
        </w:rPr>
        <w:t>important</w:t>
      </w:r>
      <w:r w:rsidR="00A975E6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change</w:t>
      </w:r>
      <w:r w:rsidR="00FB108E">
        <w:rPr>
          <w:rFonts w:ascii="Century Gothic" w:eastAsia="Times New Roman" w:hAnsi="Century Gothic" w:cs="Arial"/>
          <w:sz w:val="24"/>
          <w:szCs w:val="24"/>
          <w:lang w:eastAsia="en-GB"/>
        </w:rPr>
        <w:t>s</w:t>
      </w:r>
      <w:r w:rsidR="00A975E6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</w:t>
      </w:r>
      <w:r w:rsidR="00FB108E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in relation to employer’s eligibility to be </w:t>
      </w:r>
      <w:r w:rsidR="00A975E6">
        <w:rPr>
          <w:rFonts w:ascii="Century Gothic" w:eastAsia="Times New Roman" w:hAnsi="Century Gothic" w:cs="Arial"/>
          <w:sz w:val="24"/>
          <w:szCs w:val="24"/>
          <w:lang w:eastAsia="en-GB"/>
        </w:rPr>
        <w:t>able claim furlough for an employee who is serving a period of notice</w:t>
      </w:r>
      <w:r w:rsidR="00FB108E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(either statutory or </w:t>
      </w:r>
      <w:r w:rsidR="009845A2">
        <w:rPr>
          <w:rFonts w:ascii="Century Gothic" w:eastAsia="Times New Roman" w:hAnsi="Century Gothic" w:cs="Arial"/>
          <w:sz w:val="24"/>
          <w:szCs w:val="24"/>
          <w:lang w:eastAsia="en-GB"/>
        </w:rPr>
        <w:t>contractual</w:t>
      </w:r>
      <w:r w:rsidR="00FB108E">
        <w:rPr>
          <w:rFonts w:ascii="Century Gothic" w:eastAsia="Times New Roman" w:hAnsi="Century Gothic" w:cs="Arial"/>
          <w:sz w:val="24"/>
          <w:szCs w:val="24"/>
          <w:lang w:eastAsia="en-GB"/>
        </w:rPr>
        <w:t>)</w:t>
      </w:r>
      <w:r w:rsidR="009845A2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– </w:t>
      </w:r>
      <w:r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in a nutshell, </w:t>
      </w:r>
      <w:r w:rsidR="009845A2">
        <w:rPr>
          <w:rFonts w:ascii="Century Gothic" w:eastAsia="Times New Roman" w:hAnsi="Century Gothic" w:cs="Arial"/>
          <w:sz w:val="24"/>
          <w:szCs w:val="24"/>
          <w:lang w:eastAsia="en-GB"/>
        </w:rPr>
        <w:t>this has now ceased</w:t>
      </w:r>
      <w:r w:rsidR="00A975E6">
        <w:rPr>
          <w:rFonts w:ascii="Century Gothic" w:eastAsia="Times New Roman" w:hAnsi="Century Gothic" w:cs="Arial"/>
          <w:sz w:val="24"/>
          <w:szCs w:val="24"/>
          <w:lang w:eastAsia="en-GB"/>
        </w:rPr>
        <w:t>.</w:t>
      </w:r>
    </w:p>
    <w:p w14:paraId="1A974433" w14:textId="54F26292" w:rsidR="002C3B9D" w:rsidRDefault="002D1158" w:rsidP="002C3B9D">
      <w:pPr>
        <w:shd w:val="clear" w:color="auto" w:fill="FFFFFF"/>
        <w:spacing w:before="300" w:after="300" w:line="240" w:lineRule="auto"/>
        <w:textAlignment w:val="baseline"/>
        <w:rPr>
          <w:rFonts w:ascii="Century Gothic" w:eastAsia="Times New Roman" w:hAnsi="Century Gothic" w:cs="Arial"/>
          <w:b/>
          <w:bCs/>
          <w:sz w:val="32"/>
          <w:szCs w:val="32"/>
          <w:lang w:eastAsia="en-GB"/>
        </w:rPr>
      </w:pPr>
      <w:r w:rsidRPr="002D376C">
        <w:rPr>
          <w:rFonts w:ascii="Century Gothic" w:eastAsia="Times New Roman" w:hAnsi="Century Gothic" w:cs="Arial"/>
          <w:b/>
          <w:bCs/>
          <w:sz w:val="32"/>
          <w:szCs w:val="32"/>
          <w:lang w:eastAsia="en-GB"/>
        </w:rPr>
        <w:t>Here are the</w:t>
      </w:r>
      <w:r w:rsidR="003D0412" w:rsidRPr="002D376C">
        <w:rPr>
          <w:rFonts w:ascii="Century Gothic" w:eastAsia="Times New Roman" w:hAnsi="Century Gothic" w:cs="Arial"/>
          <w:b/>
          <w:bCs/>
          <w:sz w:val="32"/>
          <w:szCs w:val="32"/>
          <w:lang w:eastAsia="en-GB"/>
        </w:rPr>
        <w:t xml:space="preserve"> Detailed</w:t>
      </w:r>
      <w:r w:rsidRPr="002D376C">
        <w:rPr>
          <w:rFonts w:ascii="Century Gothic" w:eastAsia="Times New Roman" w:hAnsi="Century Gothic" w:cs="Arial"/>
          <w:b/>
          <w:bCs/>
          <w:sz w:val="32"/>
          <w:szCs w:val="32"/>
          <w:lang w:eastAsia="en-GB"/>
        </w:rPr>
        <w:t xml:space="preserve"> #FACTS</w:t>
      </w:r>
      <w:r w:rsidR="002C3B9D" w:rsidRPr="002D376C">
        <w:rPr>
          <w:rFonts w:ascii="Century Gothic" w:eastAsia="Times New Roman" w:hAnsi="Century Gothic" w:cs="Arial"/>
          <w:b/>
          <w:bCs/>
          <w:sz w:val="32"/>
          <w:szCs w:val="32"/>
          <w:lang w:eastAsia="en-GB"/>
        </w:rPr>
        <w:t>:</w:t>
      </w:r>
    </w:p>
    <w:p w14:paraId="2745A0F6" w14:textId="7442E312" w:rsidR="00A975E6" w:rsidRDefault="00A975E6" w:rsidP="004E220E">
      <w:pPr>
        <w:shd w:val="clear" w:color="auto" w:fill="FFFFFF"/>
        <w:spacing w:before="300" w:after="300" w:line="240" w:lineRule="auto"/>
        <w:jc w:val="both"/>
        <w:textAlignment w:val="baseline"/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</w:pPr>
      <w:r w:rsidRPr="00A975E6"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 xml:space="preserve">For claim periods relating to </w:t>
      </w:r>
      <w:r w:rsidRPr="00A975E6">
        <w:rPr>
          <w:rFonts w:ascii="Century Gothic" w:eastAsia="Times New Roman" w:hAnsi="Century Gothic" w:cs="Arial"/>
          <w:b/>
          <w:bCs/>
          <w:color w:val="0B0C0C"/>
          <w:sz w:val="24"/>
          <w:szCs w:val="24"/>
          <w:lang w:eastAsia="en-GB"/>
        </w:rPr>
        <w:t>November 2020</w:t>
      </w:r>
      <w:r w:rsidRPr="00A975E6"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>, you can continue to claim for a furloughed employee who is serving a statutory notice period</w:t>
      </w:r>
      <w:r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>.</w:t>
      </w:r>
    </w:p>
    <w:p w14:paraId="48ED75C0" w14:textId="77777777" w:rsidR="00A975E6" w:rsidRDefault="00A975E6" w:rsidP="004E220E">
      <w:pPr>
        <w:shd w:val="clear" w:color="auto" w:fill="FFFFFF"/>
        <w:spacing w:before="300" w:after="300" w:line="240" w:lineRule="auto"/>
        <w:jc w:val="both"/>
        <w:textAlignment w:val="baseline"/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 xml:space="preserve">However, for </w:t>
      </w:r>
      <w:r w:rsidRPr="00A975E6"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 xml:space="preserve">claim periods starting on or after </w:t>
      </w:r>
      <w:r w:rsidRPr="00A975E6">
        <w:rPr>
          <w:rFonts w:ascii="Century Gothic" w:eastAsia="Times New Roman" w:hAnsi="Century Gothic" w:cs="Arial"/>
          <w:b/>
          <w:bCs/>
          <w:color w:val="0B0C0C"/>
          <w:sz w:val="24"/>
          <w:szCs w:val="24"/>
          <w:lang w:eastAsia="en-GB"/>
        </w:rPr>
        <w:t>1 December 2020</w:t>
      </w:r>
      <w:r w:rsidRPr="00A975E6"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 xml:space="preserve">, you </w:t>
      </w:r>
      <w:r w:rsidRPr="00A975E6">
        <w:rPr>
          <w:rFonts w:ascii="Century Gothic" w:eastAsia="Times New Roman" w:hAnsi="Century Gothic" w:cs="Arial"/>
          <w:b/>
          <w:bCs/>
          <w:color w:val="0B0C0C"/>
          <w:sz w:val="24"/>
          <w:szCs w:val="24"/>
          <w:u w:val="single"/>
          <w:lang w:eastAsia="en-GB"/>
        </w:rPr>
        <w:t xml:space="preserve">cannot </w:t>
      </w:r>
      <w:r w:rsidRPr="00A975E6"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>claim for any days on or after 1 December 2020 during which the furloughed employee was serving a contractual or statutory notice period for the employer (this includes people serving notice of retirement or resignation).</w:t>
      </w:r>
    </w:p>
    <w:p w14:paraId="450E2C5D" w14:textId="032CB85A" w:rsidR="00A975E6" w:rsidRDefault="00A975E6" w:rsidP="004E220E">
      <w:pPr>
        <w:shd w:val="clear" w:color="auto" w:fill="FFFFFF"/>
        <w:spacing w:before="300" w:after="300" w:line="240" w:lineRule="auto"/>
        <w:jc w:val="both"/>
        <w:textAlignment w:val="baseline"/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</w:pPr>
      <w:r w:rsidRPr="00A975E6"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>If an employee subsequently starts a contractual or statutory notice period on a day covered by a previously submitted claim, you will need to make an adjustment.</w:t>
      </w:r>
    </w:p>
    <w:p w14:paraId="65A9015A" w14:textId="47E0059D" w:rsidR="00A975E6" w:rsidRDefault="00A975E6" w:rsidP="004E220E">
      <w:pPr>
        <w:shd w:val="clear" w:color="auto" w:fill="FFFFFF"/>
        <w:spacing w:before="300" w:after="300" w:line="240" w:lineRule="auto"/>
        <w:jc w:val="both"/>
        <w:textAlignment w:val="baseline"/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 xml:space="preserve">Information relating to “Adjustments to claim” can be made found at </w:t>
      </w:r>
      <w:hyperlink r:id="rId8" w:history="1">
        <w:r w:rsidRPr="00E24B88">
          <w:rPr>
            <w:rStyle w:val="Hyperlink"/>
            <w:rFonts w:ascii="Century Gothic" w:eastAsia="Times New Roman" w:hAnsi="Century Gothic" w:cs="Arial"/>
            <w:sz w:val="24"/>
            <w:szCs w:val="24"/>
            <w:lang w:eastAsia="en-GB"/>
          </w:rPr>
          <w:t>https://www.gov.uk/guidance/pay-coronavirus-job-retention-scheme-grants-back</w:t>
        </w:r>
      </w:hyperlink>
      <w:r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 xml:space="preserve"> </w:t>
      </w:r>
    </w:p>
    <w:p w14:paraId="78442FC6" w14:textId="18FD4370" w:rsidR="00A975E6" w:rsidRDefault="00FB108E" w:rsidP="004E220E">
      <w:pPr>
        <w:shd w:val="clear" w:color="auto" w:fill="FFFFFF"/>
        <w:spacing w:before="300" w:after="30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FFC000" w:themeColor="accent4"/>
          <w:sz w:val="32"/>
          <w:szCs w:val="32"/>
          <w:lang w:eastAsia="en-GB"/>
        </w:rPr>
      </w:pPr>
      <w:r>
        <w:rPr>
          <w:rFonts w:ascii="Century Gothic" w:eastAsia="Times New Roman" w:hAnsi="Century Gothic" w:cs="Arial"/>
          <w:b/>
          <w:bCs/>
          <w:color w:val="FFC000" w:themeColor="accent4"/>
          <w:sz w:val="32"/>
          <w:szCs w:val="32"/>
          <w:lang w:eastAsia="en-GB"/>
        </w:rPr>
        <w:t>Reminder……….</w:t>
      </w:r>
    </w:p>
    <w:p w14:paraId="4710E7EB" w14:textId="5582E566" w:rsidR="00FB108E" w:rsidRDefault="00FB108E" w:rsidP="004E220E">
      <w:pPr>
        <w:shd w:val="clear" w:color="auto" w:fill="FFFFFF"/>
        <w:spacing w:before="300" w:after="300" w:line="240" w:lineRule="auto"/>
        <w:jc w:val="both"/>
        <w:textAlignment w:val="baseline"/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</w:pPr>
      <w:r w:rsidRPr="00FB108E"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>If you make an employee redundant, you should base statutory redundancy and statutory notice pay on their normal wage rather than the reduced furlough wage.</w:t>
      </w:r>
    </w:p>
    <w:p w14:paraId="19A763DB" w14:textId="13F97BA1" w:rsidR="00FB108E" w:rsidRDefault="00FB108E" w:rsidP="004E220E">
      <w:pPr>
        <w:shd w:val="clear" w:color="auto" w:fill="FFFFFF"/>
        <w:spacing w:before="300" w:after="300" w:line="240" w:lineRule="auto"/>
        <w:jc w:val="both"/>
        <w:textAlignment w:val="baseline"/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 xml:space="preserve">For </w:t>
      </w:r>
      <w:r w:rsidRPr="00FB108E"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>claim periods relating to November</w:t>
      </w:r>
      <w:r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 xml:space="preserve"> 2020</w:t>
      </w:r>
      <w:r w:rsidRPr="00FB108E"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 xml:space="preserve">, </w:t>
      </w:r>
      <w:r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 xml:space="preserve">whilst </w:t>
      </w:r>
      <w:r w:rsidRPr="00FB108E"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 xml:space="preserve">you </w:t>
      </w:r>
      <w:r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>could</w:t>
      </w:r>
      <w:r w:rsidRPr="00FB108E"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 xml:space="preserve"> continue to claim for a furloughed employee who </w:t>
      </w:r>
      <w:r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>was</w:t>
      </w:r>
      <w:r w:rsidRPr="00FB108E"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 xml:space="preserve"> serving a statutory notice period, </w:t>
      </w:r>
      <w:r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 xml:space="preserve">you must not use the </w:t>
      </w:r>
      <w:r w:rsidRPr="00FB108E"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 xml:space="preserve">grants </w:t>
      </w:r>
      <w:r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>to</w:t>
      </w:r>
      <w:r w:rsidRPr="00FB108E">
        <w:rPr>
          <w:rFonts w:ascii="Century Gothic" w:eastAsia="Times New Roman" w:hAnsi="Century Gothic" w:cs="Arial"/>
          <w:color w:val="0B0C0C"/>
          <w:sz w:val="24"/>
          <w:szCs w:val="24"/>
          <w:lang w:eastAsia="en-GB"/>
        </w:rPr>
        <w:t xml:space="preserve"> substitute redundancy payments.</w:t>
      </w:r>
    </w:p>
    <w:sectPr w:rsidR="00FB108E" w:rsidSect="006D2445">
      <w:footerReference w:type="default" r:id="rId9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731AA" w14:textId="77777777" w:rsidR="009A48C9" w:rsidRDefault="009A48C9" w:rsidP="00AB2832">
      <w:pPr>
        <w:spacing w:after="0" w:line="240" w:lineRule="auto"/>
      </w:pPr>
      <w:r>
        <w:separator/>
      </w:r>
    </w:p>
  </w:endnote>
  <w:endnote w:type="continuationSeparator" w:id="0">
    <w:p w14:paraId="067E3FFE" w14:textId="77777777" w:rsidR="009A48C9" w:rsidRDefault="009A48C9" w:rsidP="00AB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  <w:szCs w:val="20"/>
      </w:rPr>
      <w:id w:val="-122205488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F82A42" w14:textId="62036549" w:rsidR="00AB2832" w:rsidRPr="00AB2832" w:rsidRDefault="00AB2832">
            <w:pPr>
              <w:pStyle w:val="Footer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2832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AB283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AB2832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AB283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AB2832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AB283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AB2832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AB283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AB2832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AB283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AB2832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AB283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138410" w14:textId="77777777" w:rsidR="00AB2832" w:rsidRDefault="00AB2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57280" w14:textId="77777777" w:rsidR="009A48C9" w:rsidRDefault="009A48C9" w:rsidP="00AB2832">
      <w:pPr>
        <w:spacing w:after="0" w:line="240" w:lineRule="auto"/>
      </w:pPr>
      <w:r>
        <w:separator/>
      </w:r>
    </w:p>
  </w:footnote>
  <w:footnote w:type="continuationSeparator" w:id="0">
    <w:p w14:paraId="19736C98" w14:textId="77777777" w:rsidR="009A48C9" w:rsidRDefault="009A48C9" w:rsidP="00AB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5E0"/>
    <w:multiLevelType w:val="hybridMultilevel"/>
    <w:tmpl w:val="DFD8E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695BB6"/>
    <w:multiLevelType w:val="multilevel"/>
    <w:tmpl w:val="19A8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8158F3"/>
    <w:multiLevelType w:val="hybridMultilevel"/>
    <w:tmpl w:val="447228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65383"/>
    <w:multiLevelType w:val="hybridMultilevel"/>
    <w:tmpl w:val="4544B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12AEB"/>
    <w:multiLevelType w:val="hybridMultilevel"/>
    <w:tmpl w:val="EBEA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709E3"/>
    <w:multiLevelType w:val="hybridMultilevel"/>
    <w:tmpl w:val="FB6E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75155"/>
    <w:multiLevelType w:val="multilevel"/>
    <w:tmpl w:val="EF947FDA"/>
    <w:lvl w:ilvl="0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9D556D1"/>
    <w:multiLevelType w:val="multilevel"/>
    <w:tmpl w:val="CD00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915E1B"/>
    <w:multiLevelType w:val="hybridMultilevel"/>
    <w:tmpl w:val="0F86E17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E00441"/>
    <w:multiLevelType w:val="multilevel"/>
    <w:tmpl w:val="D13A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6633DF"/>
    <w:multiLevelType w:val="hybridMultilevel"/>
    <w:tmpl w:val="7CECCF8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5C90585"/>
    <w:multiLevelType w:val="multilevel"/>
    <w:tmpl w:val="E4A4FF06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F67442"/>
    <w:multiLevelType w:val="multilevel"/>
    <w:tmpl w:val="9A9CD6D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85653A7"/>
    <w:multiLevelType w:val="multilevel"/>
    <w:tmpl w:val="D48A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8D652B"/>
    <w:multiLevelType w:val="multilevel"/>
    <w:tmpl w:val="EABE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D8247F9"/>
    <w:multiLevelType w:val="multilevel"/>
    <w:tmpl w:val="C3A6601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765C21"/>
    <w:multiLevelType w:val="multilevel"/>
    <w:tmpl w:val="5714323C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0505266"/>
    <w:multiLevelType w:val="multilevel"/>
    <w:tmpl w:val="AF3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3232DB7"/>
    <w:multiLevelType w:val="hybridMultilevel"/>
    <w:tmpl w:val="060EB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0476EC"/>
    <w:multiLevelType w:val="hybridMultilevel"/>
    <w:tmpl w:val="1356229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931525"/>
    <w:multiLevelType w:val="hybridMultilevel"/>
    <w:tmpl w:val="C9044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C1D43"/>
    <w:multiLevelType w:val="multilevel"/>
    <w:tmpl w:val="93EA0332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B7A3096"/>
    <w:multiLevelType w:val="multilevel"/>
    <w:tmpl w:val="2862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2B750FC"/>
    <w:multiLevelType w:val="hybridMultilevel"/>
    <w:tmpl w:val="24B0C9E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DA33C4"/>
    <w:multiLevelType w:val="hybridMultilevel"/>
    <w:tmpl w:val="43CA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00C3A"/>
    <w:multiLevelType w:val="hybridMultilevel"/>
    <w:tmpl w:val="637A97E6"/>
    <w:lvl w:ilvl="0" w:tplc="0809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3BA733BA"/>
    <w:multiLevelType w:val="hybridMultilevel"/>
    <w:tmpl w:val="19DC8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5B6F1E"/>
    <w:multiLevelType w:val="multilevel"/>
    <w:tmpl w:val="27C6225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2D779F1"/>
    <w:multiLevelType w:val="multilevel"/>
    <w:tmpl w:val="B09C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37E7855"/>
    <w:multiLevelType w:val="multilevel"/>
    <w:tmpl w:val="70CE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58B303B"/>
    <w:multiLevelType w:val="multilevel"/>
    <w:tmpl w:val="147E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82C115A"/>
    <w:multiLevelType w:val="multilevel"/>
    <w:tmpl w:val="B88C794C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87E5A13"/>
    <w:multiLevelType w:val="hybridMultilevel"/>
    <w:tmpl w:val="A3DA94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A5A2F"/>
    <w:multiLevelType w:val="multilevel"/>
    <w:tmpl w:val="12BE5C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61A6A34"/>
    <w:multiLevelType w:val="multilevel"/>
    <w:tmpl w:val="1FAE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3F7E54"/>
    <w:multiLevelType w:val="hybridMultilevel"/>
    <w:tmpl w:val="5E1E3F7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5AFB29EA"/>
    <w:multiLevelType w:val="multilevel"/>
    <w:tmpl w:val="3F98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B3F3790"/>
    <w:multiLevelType w:val="multilevel"/>
    <w:tmpl w:val="A1B0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07C4295"/>
    <w:multiLevelType w:val="hybridMultilevel"/>
    <w:tmpl w:val="289C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80A52"/>
    <w:multiLevelType w:val="hybridMultilevel"/>
    <w:tmpl w:val="4F84FAE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88616C"/>
    <w:multiLevelType w:val="hybridMultilevel"/>
    <w:tmpl w:val="602270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422FF"/>
    <w:multiLevelType w:val="multilevel"/>
    <w:tmpl w:val="B10A77F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B9A4631"/>
    <w:multiLevelType w:val="multilevel"/>
    <w:tmpl w:val="2A70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DB805F6"/>
    <w:multiLevelType w:val="hybridMultilevel"/>
    <w:tmpl w:val="DC6C958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C13666"/>
    <w:multiLevelType w:val="hybridMultilevel"/>
    <w:tmpl w:val="3684C12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D863A3"/>
    <w:multiLevelType w:val="multilevel"/>
    <w:tmpl w:val="86EA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C81322"/>
    <w:multiLevelType w:val="hybridMultilevel"/>
    <w:tmpl w:val="B31A6454"/>
    <w:lvl w:ilvl="0" w:tplc="0809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7" w15:restartNumberingAfterBreak="0">
    <w:nsid w:val="7DAA3F50"/>
    <w:multiLevelType w:val="multilevel"/>
    <w:tmpl w:val="3B7C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28"/>
  </w:num>
  <w:num w:numId="3">
    <w:abstractNumId w:val="13"/>
  </w:num>
  <w:num w:numId="4">
    <w:abstractNumId w:val="17"/>
  </w:num>
  <w:num w:numId="5">
    <w:abstractNumId w:val="42"/>
  </w:num>
  <w:num w:numId="6">
    <w:abstractNumId w:val="27"/>
  </w:num>
  <w:num w:numId="7">
    <w:abstractNumId w:val="14"/>
  </w:num>
  <w:num w:numId="8">
    <w:abstractNumId w:val="36"/>
  </w:num>
  <w:num w:numId="9">
    <w:abstractNumId w:val="22"/>
  </w:num>
  <w:num w:numId="10">
    <w:abstractNumId w:val="7"/>
  </w:num>
  <w:num w:numId="11">
    <w:abstractNumId w:val="41"/>
  </w:num>
  <w:num w:numId="12">
    <w:abstractNumId w:val="20"/>
  </w:num>
  <w:num w:numId="13">
    <w:abstractNumId w:val="3"/>
  </w:num>
  <w:num w:numId="14">
    <w:abstractNumId w:val="18"/>
  </w:num>
  <w:num w:numId="15">
    <w:abstractNumId w:val="38"/>
  </w:num>
  <w:num w:numId="16">
    <w:abstractNumId w:val="26"/>
  </w:num>
  <w:num w:numId="17">
    <w:abstractNumId w:val="43"/>
  </w:num>
  <w:num w:numId="18">
    <w:abstractNumId w:val="23"/>
  </w:num>
  <w:num w:numId="19">
    <w:abstractNumId w:val="19"/>
  </w:num>
  <w:num w:numId="20">
    <w:abstractNumId w:val="44"/>
  </w:num>
  <w:num w:numId="21">
    <w:abstractNumId w:val="8"/>
  </w:num>
  <w:num w:numId="22">
    <w:abstractNumId w:val="39"/>
  </w:num>
  <w:num w:numId="23">
    <w:abstractNumId w:val="33"/>
  </w:num>
  <w:num w:numId="24">
    <w:abstractNumId w:val="9"/>
  </w:num>
  <w:num w:numId="25">
    <w:abstractNumId w:val="15"/>
  </w:num>
  <w:num w:numId="26">
    <w:abstractNumId w:val="12"/>
  </w:num>
  <w:num w:numId="27">
    <w:abstractNumId w:val="4"/>
  </w:num>
  <w:num w:numId="28">
    <w:abstractNumId w:val="32"/>
  </w:num>
  <w:num w:numId="29">
    <w:abstractNumId w:val="2"/>
  </w:num>
  <w:num w:numId="30">
    <w:abstractNumId w:val="46"/>
  </w:num>
  <w:num w:numId="31">
    <w:abstractNumId w:val="25"/>
  </w:num>
  <w:num w:numId="32">
    <w:abstractNumId w:val="40"/>
  </w:num>
  <w:num w:numId="33">
    <w:abstractNumId w:val="16"/>
  </w:num>
  <w:num w:numId="34">
    <w:abstractNumId w:val="0"/>
  </w:num>
  <w:num w:numId="35">
    <w:abstractNumId w:val="34"/>
  </w:num>
  <w:num w:numId="36">
    <w:abstractNumId w:val="31"/>
  </w:num>
  <w:num w:numId="37">
    <w:abstractNumId w:val="47"/>
  </w:num>
  <w:num w:numId="38">
    <w:abstractNumId w:val="6"/>
  </w:num>
  <w:num w:numId="39">
    <w:abstractNumId w:val="11"/>
  </w:num>
  <w:num w:numId="40">
    <w:abstractNumId w:val="21"/>
  </w:num>
  <w:num w:numId="41">
    <w:abstractNumId w:val="45"/>
  </w:num>
  <w:num w:numId="42">
    <w:abstractNumId w:val="30"/>
  </w:num>
  <w:num w:numId="43">
    <w:abstractNumId w:val="29"/>
  </w:num>
  <w:num w:numId="44">
    <w:abstractNumId w:val="1"/>
  </w:num>
  <w:num w:numId="45">
    <w:abstractNumId w:val="10"/>
  </w:num>
  <w:num w:numId="46">
    <w:abstractNumId w:val="24"/>
  </w:num>
  <w:num w:numId="47">
    <w:abstractNumId w:val="3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9D"/>
    <w:rsid w:val="0014306E"/>
    <w:rsid w:val="00194B70"/>
    <w:rsid w:val="001F5857"/>
    <w:rsid w:val="00204D05"/>
    <w:rsid w:val="00216E58"/>
    <w:rsid w:val="00221D1B"/>
    <w:rsid w:val="0025354C"/>
    <w:rsid w:val="002C3B9D"/>
    <w:rsid w:val="002D1158"/>
    <w:rsid w:val="002D376C"/>
    <w:rsid w:val="002E2403"/>
    <w:rsid w:val="00380FE3"/>
    <w:rsid w:val="003D0412"/>
    <w:rsid w:val="00460608"/>
    <w:rsid w:val="004631BA"/>
    <w:rsid w:val="004A3EC4"/>
    <w:rsid w:val="004D474D"/>
    <w:rsid w:val="004E220E"/>
    <w:rsid w:val="005324AE"/>
    <w:rsid w:val="005500D7"/>
    <w:rsid w:val="005758C5"/>
    <w:rsid w:val="005B4B3A"/>
    <w:rsid w:val="005D1DFC"/>
    <w:rsid w:val="00611E08"/>
    <w:rsid w:val="00631508"/>
    <w:rsid w:val="0065160A"/>
    <w:rsid w:val="006D2445"/>
    <w:rsid w:val="006E0526"/>
    <w:rsid w:val="006F204F"/>
    <w:rsid w:val="00743F4F"/>
    <w:rsid w:val="00761D89"/>
    <w:rsid w:val="007A48E1"/>
    <w:rsid w:val="007C3A67"/>
    <w:rsid w:val="00826C61"/>
    <w:rsid w:val="00877765"/>
    <w:rsid w:val="008A7CAF"/>
    <w:rsid w:val="008C15BC"/>
    <w:rsid w:val="00914037"/>
    <w:rsid w:val="00930B27"/>
    <w:rsid w:val="0097152B"/>
    <w:rsid w:val="009845A2"/>
    <w:rsid w:val="009A48C9"/>
    <w:rsid w:val="009C164A"/>
    <w:rsid w:val="009E4FC8"/>
    <w:rsid w:val="00A04E6B"/>
    <w:rsid w:val="00A43839"/>
    <w:rsid w:val="00A956CD"/>
    <w:rsid w:val="00A975E6"/>
    <w:rsid w:val="00AB14AC"/>
    <w:rsid w:val="00AB2832"/>
    <w:rsid w:val="00AD6EF5"/>
    <w:rsid w:val="00AF6382"/>
    <w:rsid w:val="00B134B8"/>
    <w:rsid w:val="00B56FC5"/>
    <w:rsid w:val="00B77A1A"/>
    <w:rsid w:val="00B80B87"/>
    <w:rsid w:val="00C61608"/>
    <w:rsid w:val="00C7091B"/>
    <w:rsid w:val="00D03054"/>
    <w:rsid w:val="00D95FB5"/>
    <w:rsid w:val="00DE4D18"/>
    <w:rsid w:val="00E36CB3"/>
    <w:rsid w:val="00E6185C"/>
    <w:rsid w:val="00E76190"/>
    <w:rsid w:val="00E76D59"/>
    <w:rsid w:val="00EA55F2"/>
    <w:rsid w:val="00F64205"/>
    <w:rsid w:val="00FB108E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9EF6"/>
  <w15:chartTrackingRefBased/>
  <w15:docId w15:val="{B7CDA2E0-4037-4282-9E4B-0875B539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E6B"/>
    <w:rPr>
      <w:color w:val="0563C1"/>
      <w:u w:val="single"/>
    </w:rPr>
  </w:style>
  <w:style w:type="table" w:styleId="TableGrid">
    <w:name w:val="Table Grid"/>
    <w:basedOn w:val="TableNormal"/>
    <w:uiPriority w:val="39"/>
    <w:rsid w:val="0046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46060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761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2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832"/>
  </w:style>
  <w:style w:type="paragraph" w:styleId="Footer">
    <w:name w:val="footer"/>
    <w:basedOn w:val="Normal"/>
    <w:link w:val="FooterChar"/>
    <w:uiPriority w:val="99"/>
    <w:unhideWhenUsed/>
    <w:rsid w:val="00AB2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832"/>
  </w:style>
  <w:style w:type="paragraph" w:styleId="BalloonText">
    <w:name w:val="Balloon Text"/>
    <w:basedOn w:val="Normal"/>
    <w:link w:val="BalloonTextChar"/>
    <w:uiPriority w:val="99"/>
    <w:semiHidden/>
    <w:unhideWhenUsed/>
    <w:rsid w:val="0093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485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8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3486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0861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2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336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332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56853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single" w:sz="48" w:space="12" w:color="B1B4B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pay-coronavirus-job-retention-scheme-grants-ba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Sanderson Brown</dc:creator>
  <cp:keywords/>
  <dc:description/>
  <cp:lastModifiedBy>Neneh Bentley</cp:lastModifiedBy>
  <cp:revision>2</cp:revision>
  <cp:lastPrinted>2020-04-10T13:42:00Z</cp:lastPrinted>
  <dcterms:created xsi:type="dcterms:W3CDTF">2021-01-25T17:33:00Z</dcterms:created>
  <dcterms:modified xsi:type="dcterms:W3CDTF">2021-01-25T17:33:00Z</dcterms:modified>
</cp:coreProperties>
</file>