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C6" w:rsidRPr="003471D8" w:rsidRDefault="00D07721" w:rsidP="00D07721">
      <w:pPr>
        <w:pStyle w:val="Title"/>
        <w:pBdr>
          <w:top w:val="none" w:sz="0" w:space="0" w:color="auto"/>
          <w:bottom w:val="single" w:sz="18" w:space="1" w:color="365F91" w:themeColor="accent1" w:themeShade="BF"/>
        </w:pBdr>
        <w:rPr>
          <w:rFonts w:ascii="Arial" w:hAnsi="Arial" w:cs="Arial"/>
          <w:i w:val="0"/>
          <w:color w:val="auto"/>
        </w:rPr>
      </w:pPr>
      <w:bookmarkStart w:id="0" w:name="_Toc370741279"/>
      <w:bookmarkStart w:id="1" w:name="_GoBack"/>
      <w:bookmarkEnd w:id="1"/>
      <w:r w:rsidRPr="003471D8">
        <w:rPr>
          <w:rFonts w:ascii="Arial" w:hAnsi="Arial" w:cs="Arial"/>
          <w:i w:val="0"/>
          <w:color w:val="auto"/>
        </w:rPr>
        <w:t>Information Security</w:t>
      </w:r>
      <w:r w:rsidRPr="003471D8">
        <w:rPr>
          <w:rFonts w:ascii="Arial" w:hAnsi="Arial" w:cs="Arial"/>
          <w:i w:val="0"/>
          <w:color w:val="auto"/>
        </w:rPr>
        <w:br/>
      </w:r>
      <w:r w:rsidR="002033A1" w:rsidRPr="003471D8">
        <w:rPr>
          <w:rFonts w:ascii="Arial" w:hAnsi="Arial" w:cs="Arial"/>
          <w:i w:val="0"/>
          <w:color w:val="auto"/>
        </w:rPr>
        <w:t>Vendor Management</w:t>
      </w:r>
      <w:r w:rsidRPr="003471D8">
        <w:rPr>
          <w:rFonts w:ascii="Arial" w:hAnsi="Arial" w:cs="Arial"/>
          <w:i w:val="0"/>
          <w:color w:val="auto"/>
        </w:rPr>
        <w:t xml:space="preserve"> Policy</w:t>
      </w:r>
    </w:p>
    <w:tbl>
      <w:tblPr>
        <w:tblStyle w:val="MediumList1-Accent1"/>
        <w:tblW w:w="0" w:type="auto"/>
        <w:jc w:val="center"/>
        <w:tblLook w:val="0280" w:firstRow="0" w:lastRow="0" w:firstColumn="1" w:lastColumn="0" w:noHBand="1" w:noVBand="0"/>
      </w:tblPr>
      <w:tblGrid>
        <w:gridCol w:w="1362"/>
        <w:gridCol w:w="1440"/>
        <w:gridCol w:w="1530"/>
        <w:gridCol w:w="2532"/>
      </w:tblGrid>
      <w:tr w:rsidR="003471D8" w:rsidRPr="003471D8" w:rsidTr="00E05C34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:rsidR="00862E11" w:rsidRPr="003471D8" w:rsidRDefault="00862E11" w:rsidP="00862E11">
            <w:pPr>
              <w:spacing w:after="40"/>
              <w:rPr>
                <w:color w:val="auto"/>
                <w:sz w:val="18"/>
                <w:szCs w:val="18"/>
              </w:rPr>
            </w:pPr>
            <w:r w:rsidRPr="003471D8">
              <w:rPr>
                <w:color w:val="auto"/>
                <w:sz w:val="18"/>
                <w:szCs w:val="18"/>
              </w:rPr>
              <w:t>Policy 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862E11" w:rsidRPr="003471D8" w:rsidRDefault="00862E11" w:rsidP="00295E09">
            <w:pPr>
              <w:spacing w:after="40"/>
              <w:rPr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</w:tcPr>
          <w:p w:rsidR="00862E11" w:rsidRPr="003471D8" w:rsidRDefault="00862E11" w:rsidP="00862E1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3471D8">
              <w:rPr>
                <w:b/>
                <w:color w:val="auto"/>
                <w:sz w:val="18"/>
                <w:szCs w:val="18"/>
              </w:rPr>
              <w:t>Effective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62E11" w:rsidRPr="003471D8" w:rsidRDefault="00862E11" w:rsidP="00862E11">
            <w:pPr>
              <w:spacing w:after="40"/>
              <w:rPr>
                <w:color w:val="auto"/>
                <w:sz w:val="18"/>
                <w:szCs w:val="18"/>
              </w:rPr>
            </w:pPr>
          </w:p>
        </w:tc>
      </w:tr>
      <w:tr w:rsidR="003471D8" w:rsidRPr="003471D8" w:rsidTr="00E05C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:rsidR="00862E11" w:rsidRPr="003471D8" w:rsidRDefault="00862E11" w:rsidP="00862E11">
            <w:pPr>
              <w:spacing w:after="40"/>
              <w:rPr>
                <w:color w:val="auto"/>
                <w:sz w:val="18"/>
                <w:szCs w:val="18"/>
              </w:rPr>
            </w:pPr>
            <w:r w:rsidRPr="003471D8">
              <w:rPr>
                <w:color w:val="auto"/>
                <w:sz w:val="18"/>
                <w:szCs w:val="18"/>
              </w:rPr>
              <w:t>Version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862E11" w:rsidRPr="003471D8" w:rsidRDefault="00862E11" w:rsidP="00862E11">
            <w:pPr>
              <w:spacing w:after="40"/>
              <w:rPr>
                <w:color w:val="auto"/>
                <w:sz w:val="18"/>
                <w:szCs w:val="18"/>
              </w:rPr>
            </w:pPr>
            <w:r w:rsidRPr="003471D8">
              <w:rPr>
                <w:color w:val="auto"/>
                <w:sz w:val="18"/>
                <w:szCs w:val="18"/>
              </w:rPr>
              <w:t>1.0</w:t>
            </w:r>
          </w:p>
        </w:tc>
        <w:tc>
          <w:tcPr>
            <w:tcW w:w="1530" w:type="dxa"/>
          </w:tcPr>
          <w:p w:rsidR="00862E11" w:rsidRPr="003471D8" w:rsidRDefault="00862E11" w:rsidP="00862E1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  <w:r w:rsidRPr="003471D8">
              <w:rPr>
                <w:b/>
                <w:color w:val="auto"/>
                <w:sz w:val="18"/>
                <w:szCs w:val="18"/>
              </w:rPr>
              <w:t>Contact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8373AE" w:rsidRPr="003471D8" w:rsidRDefault="008373AE" w:rsidP="00862E11">
            <w:pPr>
              <w:spacing w:after="40"/>
              <w:rPr>
                <w:color w:val="auto"/>
                <w:sz w:val="18"/>
                <w:szCs w:val="18"/>
              </w:rPr>
            </w:pPr>
          </w:p>
        </w:tc>
      </w:tr>
      <w:tr w:rsidR="003471D8" w:rsidRPr="003471D8" w:rsidTr="00E05C3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:rsidR="00E05C34" w:rsidRPr="003471D8" w:rsidRDefault="00E05C34" w:rsidP="00862E11">
            <w:pPr>
              <w:spacing w:after="40"/>
              <w:rPr>
                <w:color w:val="auto"/>
                <w:sz w:val="18"/>
                <w:szCs w:val="18"/>
              </w:rPr>
            </w:pPr>
            <w:r w:rsidRPr="003471D8">
              <w:rPr>
                <w:color w:val="auto"/>
                <w:sz w:val="18"/>
                <w:szCs w:val="18"/>
              </w:rPr>
              <w:t>Scope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</w:tcPr>
          <w:p w:rsidR="00E05C34" w:rsidRPr="003471D8" w:rsidRDefault="008373AE" w:rsidP="00862E11">
            <w:pPr>
              <w:spacing w:after="40"/>
              <w:rPr>
                <w:color w:val="auto"/>
                <w:sz w:val="18"/>
                <w:szCs w:val="18"/>
              </w:rPr>
            </w:pPr>
            <w:r w:rsidRPr="003471D8">
              <w:rPr>
                <w:color w:val="auto"/>
                <w:sz w:val="18"/>
                <w:szCs w:val="18"/>
              </w:rPr>
              <w:t>Firm</w:t>
            </w:r>
          </w:p>
        </w:tc>
        <w:tc>
          <w:tcPr>
            <w:tcW w:w="1530" w:type="dxa"/>
          </w:tcPr>
          <w:p w:rsidR="00E05C34" w:rsidRPr="003471D8" w:rsidRDefault="00E05C34" w:rsidP="00862E11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2" w:type="dxa"/>
          </w:tcPr>
          <w:p w:rsidR="00E05C34" w:rsidRPr="003471D8" w:rsidRDefault="00E05C34" w:rsidP="00862E11">
            <w:pPr>
              <w:spacing w:after="40"/>
              <w:rPr>
                <w:color w:val="auto"/>
                <w:sz w:val="18"/>
                <w:szCs w:val="18"/>
              </w:rPr>
            </w:pPr>
          </w:p>
        </w:tc>
      </w:tr>
    </w:tbl>
    <w:p w:rsidR="001705C6" w:rsidRPr="003471D8" w:rsidRDefault="001705C6" w:rsidP="001705C6">
      <w:pPr>
        <w:rPr>
          <w:sz w:val="24"/>
          <w:szCs w:val="24"/>
        </w:rPr>
      </w:pPr>
    </w:p>
    <w:p w:rsidR="00BC314D" w:rsidRPr="003471D8" w:rsidRDefault="00BC314D" w:rsidP="005E6309">
      <w:pPr>
        <w:pBdr>
          <w:bottom w:val="single" w:sz="12" w:space="1" w:color="365F91" w:themeColor="accent1" w:themeShade="BF"/>
        </w:pBdr>
        <w:rPr>
          <w:b/>
          <w:sz w:val="24"/>
          <w:szCs w:val="24"/>
        </w:rPr>
      </w:pPr>
      <w:r w:rsidRPr="003471D8">
        <w:rPr>
          <w:b/>
          <w:sz w:val="24"/>
          <w:szCs w:val="24"/>
        </w:rPr>
        <w:t>Table of Contents</w:t>
      </w:r>
      <w:bookmarkEnd w:id="0"/>
    </w:p>
    <w:p w:rsidR="001E0761" w:rsidRPr="003471D8" w:rsidRDefault="00BC314D">
      <w:pPr>
        <w:pStyle w:val="TOC1"/>
        <w:rPr>
          <w:noProof/>
          <w:sz w:val="22"/>
        </w:rPr>
      </w:pPr>
      <w:r w:rsidRPr="003471D8">
        <w:fldChar w:fldCharType="begin"/>
      </w:r>
      <w:r w:rsidRPr="003471D8">
        <w:instrText xml:space="preserve"> TOC \f c \t "Heading 1,1, Heading 2,2" </w:instrText>
      </w:r>
      <w:r w:rsidRPr="003471D8">
        <w:fldChar w:fldCharType="separate"/>
      </w:r>
      <w:r w:rsidR="001E0761" w:rsidRPr="003471D8">
        <w:rPr>
          <w:noProof/>
        </w:rPr>
        <w:t>1.0 Overview</w:t>
      </w:r>
      <w:r w:rsidR="001E0761" w:rsidRPr="003471D8">
        <w:rPr>
          <w:noProof/>
        </w:rPr>
        <w:tab/>
      </w:r>
      <w:r w:rsidR="001E0761" w:rsidRPr="003471D8">
        <w:rPr>
          <w:noProof/>
        </w:rPr>
        <w:fldChar w:fldCharType="begin"/>
      </w:r>
      <w:r w:rsidR="001E0761" w:rsidRPr="003471D8">
        <w:rPr>
          <w:noProof/>
        </w:rPr>
        <w:instrText xml:space="preserve"> PAGEREF _Toc475534796 \h </w:instrText>
      </w:r>
      <w:r w:rsidR="001E0761" w:rsidRPr="003471D8">
        <w:rPr>
          <w:noProof/>
        </w:rPr>
      </w:r>
      <w:r w:rsidR="001E0761" w:rsidRPr="003471D8">
        <w:rPr>
          <w:noProof/>
        </w:rPr>
        <w:fldChar w:fldCharType="separate"/>
      </w:r>
      <w:r w:rsidR="005056DB">
        <w:rPr>
          <w:noProof/>
        </w:rPr>
        <w:t>1</w:t>
      </w:r>
      <w:r w:rsidR="001E0761"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2.0 Purpose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_Toc475534797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1</w:t>
      </w:r>
      <w:r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3.0 Scope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_Toc475534798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1</w:t>
      </w:r>
      <w:r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4.0 Elements of Risk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_Toc475534799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2</w:t>
      </w:r>
      <w:r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5.0 Due Diligence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_Toc475534800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2</w:t>
      </w:r>
      <w:r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6.0 Contractual Documentation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_Toc475534801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2</w:t>
      </w:r>
      <w:r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7.0 Vendor Access Control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_Toc475534802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3</w:t>
      </w:r>
      <w:r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8.0 Information Exchange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_Toc475534803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3</w:t>
      </w:r>
      <w:r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9.0 Related Policies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_Toc475534804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3</w:t>
      </w:r>
      <w:r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10.0 Related Form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_Toc475534805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3</w:t>
      </w:r>
      <w:r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11.0 Policy Maintenance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_Toc475534806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3</w:t>
      </w:r>
      <w:r w:rsidRPr="003471D8">
        <w:rPr>
          <w:noProof/>
        </w:rPr>
        <w:fldChar w:fldCharType="end"/>
      </w:r>
    </w:p>
    <w:p w:rsidR="001E0761" w:rsidRPr="003471D8" w:rsidRDefault="001E0761">
      <w:pPr>
        <w:pStyle w:val="TOC1"/>
        <w:rPr>
          <w:noProof/>
          <w:sz w:val="22"/>
        </w:rPr>
      </w:pPr>
      <w:r w:rsidRPr="003471D8">
        <w:rPr>
          <w:noProof/>
        </w:rPr>
        <w:t>Revision History</w:t>
      </w:r>
      <w:r w:rsidRPr="003471D8">
        <w:rPr>
          <w:noProof/>
        </w:rPr>
        <w:tab/>
      </w:r>
      <w:r w:rsidRPr="003471D8">
        <w:rPr>
          <w:noProof/>
        </w:rPr>
        <w:fldChar w:fldCharType="begin"/>
      </w:r>
      <w:r w:rsidRPr="003471D8">
        <w:rPr>
          <w:noProof/>
        </w:rPr>
        <w:instrText xml:space="preserve"> PAGEREF _Toc475534807 \h </w:instrText>
      </w:r>
      <w:r w:rsidRPr="003471D8">
        <w:rPr>
          <w:noProof/>
        </w:rPr>
      </w:r>
      <w:r w:rsidRPr="003471D8">
        <w:rPr>
          <w:noProof/>
        </w:rPr>
        <w:fldChar w:fldCharType="separate"/>
      </w:r>
      <w:r w:rsidR="005056DB">
        <w:rPr>
          <w:noProof/>
        </w:rPr>
        <w:t>3</w:t>
      </w:r>
      <w:r w:rsidRPr="003471D8">
        <w:rPr>
          <w:noProof/>
        </w:rPr>
        <w:fldChar w:fldCharType="end"/>
      </w:r>
    </w:p>
    <w:p w:rsidR="00BC314D" w:rsidRPr="003471D8" w:rsidRDefault="00BC314D" w:rsidP="00BC314D">
      <w:r w:rsidRPr="003471D8">
        <w:fldChar w:fldCharType="end"/>
      </w:r>
    </w:p>
    <w:p w:rsidR="00DA6BEA" w:rsidRPr="003471D8" w:rsidRDefault="00DA6BEA" w:rsidP="00DA6BEA">
      <w:pPr>
        <w:pStyle w:val="Heading1"/>
        <w:rPr>
          <w:color w:val="auto"/>
        </w:rPr>
      </w:pPr>
      <w:bookmarkStart w:id="2" w:name="_Toc370741280"/>
      <w:bookmarkStart w:id="3" w:name="_Toc475534796"/>
      <w:r w:rsidRPr="003471D8">
        <w:rPr>
          <w:color w:val="auto"/>
        </w:rPr>
        <w:t>1.0 Overview</w:t>
      </w:r>
      <w:bookmarkEnd w:id="2"/>
      <w:bookmarkEnd w:id="3"/>
    </w:p>
    <w:p w:rsidR="007C1E86" w:rsidRPr="003471D8" w:rsidRDefault="007C1E86" w:rsidP="00E20B2B">
      <w:pPr>
        <w:rPr>
          <w:rFonts w:eastAsia="MS Mincho"/>
          <w:sz w:val="20"/>
        </w:rPr>
      </w:pPr>
      <w:bookmarkStart w:id="4" w:name="_Toc370741281"/>
      <w:r w:rsidRPr="003471D8">
        <w:rPr>
          <w:rFonts w:eastAsia="MS Mincho"/>
          <w:sz w:val="20"/>
        </w:rPr>
        <w:t xml:space="preserve">In accordance with the Firm’s internal security practices and requirement; and those requirements mandated by the Firm’s clients, </w:t>
      </w:r>
      <w:r w:rsidR="003471D8" w:rsidRPr="00471968">
        <w:rPr>
          <w:rFonts w:eastAsia="MS Mincho"/>
          <w:sz w:val="20"/>
          <w:highlight w:val="yellow"/>
          <w:u w:val="single"/>
        </w:rPr>
        <w:t>Firm Name</w:t>
      </w:r>
      <w:r w:rsidR="003471D8" w:rsidRPr="003471D8">
        <w:rPr>
          <w:rFonts w:eastAsia="MS Mincho"/>
          <w:sz w:val="20"/>
        </w:rPr>
        <w:t xml:space="preserve"> </w:t>
      </w:r>
      <w:r w:rsidRPr="003471D8">
        <w:rPr>
          <w:rFonts w:eastAsia="MS Mincho"/>
          <w:sz w:val="20"/>
        </w:rPr>
        <w:t xml:space="preserve">has established a formal Vendor Management policy and supporting procedures.  </w:t>
      </w:r>
    </w:p>
    <w:p w:rsidR="00091096" w:rsidRPr="003471D8" w:rsidRDefault="007C1E86" w:rsidP="00E20B2B">
      <w:pPr>
        <w:rPr>
          <w:rFonts w:eastAsia="MS Mincho"/>
          <w:sz w:val="20"/>
        </w:rPr>
      </w:pPr>
      <w:r w:rsidRPr="003471D8">
        <w:rPr>
          <w:rFonts w:eastAsia="MS Mincho"/>
          <w:sz w:val="20"/>
        </w:rPr>
        <w:t xml:space="preserve">Proper vendor management means conducting due </w:t>
      </w:r>
      <w:r w:rsidR="00537D7E" w:rsidRPr="003471D8">
        <w:rPr>
          <w:rFonts w:eastAsia="MS Mincho"/>
          <w:sz w:val="20"/>
        </w:rPr>
        <w:t xml:space="preserve">diligence in vendor selection, </w:t>
      </w:r>
      <w:r w:rsidR="00476E5B" w:rsidRPr="003471D8">
        <w:rPr>
          <w:rFonts w:eastAsia="MS Mincho"/>
          <w:sz w:val="20"/>
        </w:rPr>
        <w:t xml:space="preserve">and </w:t>
      </w:r>
      <w:r w:rsidRPr="003471D8">
        <w:rPr>
          <w:rFonts w:eastAsia="MS Mincho"/>
          <w:sz w:val="20"/>
        </w:rPr>
        <w:t>reviewing all nece</w:t>
      </w:r>
      <w:r w:rsidR="00537D7E" w:rsidRPr="003471D8">
        <w:rPr>
          <w:rFonts w:eastAsia="MS Mincho"/>
          <w:sz w:val="20"/>
        </w:rPr>
        <w:t xml:space="preserve">ssary </w:t>
      </w:r>
      <w:proofErr w:type="gramStart"/>
      <w:r w:rsidR="00537D7E" w:rsidRPr="003471D8">
        <w:rPr>
          <w:rFonts w:eastAsia="MS Mincho"/>
          <w:sz w:val="20"/>
        </w:rPr>
        <w:t>contractual</w:t>
      </w:r>
      <w:proofErr w:type="gramEnd"/>
      <w:r w:rsidR="00537D7E" w:rsidRPr="003471D8">
        <w:rPr>
          <w:rFonts w:eastAsia="MS Mincho"/>
          <w:sz w:val="20"/>
        </w:rPr>
        <w:t xml:space="preserve"> documentation upon engagement of vendor services</w:t>
      </w:r>
      <w:r w:rsidRPr="003471D8">
        <w:rPr>
          <w:rFonts w:eastAsia="MS Mincho"/>
          <w:sz w:val="20"/>
        </w:rPr>
        <w:t>.</w:t>
      </w:r>
    </w:p>
    <w:p w:rsidR="00D81A05" w:rsidRPr="003471D8" w:rsidRDefault="00D81A05" w:rsidP="00E20B2B">
      <w:pPr>
        <w:rPr>
          <w:rFonts w:eastAsia="MS Mincho"/>
          <w:sz w:val="20"/>
        </w:rPr>
      </w:pPr>
      <w:r w:rsidRPr="003471D8">
        <w:rPr>
          <w:rFonts w:eastAsia="MS Mincho"/>
          <w:sz w:val="20"/>
        </w:rPr>
        <w:t>Additiona</w:t>
      </w:r>
      <w:r w:rsidR="00537D7E" w:rsidRPr="003471D8">
        <w:rPr>
          <w:rFonts w:eastAsia="MS Mincho"/>
          <w:sz w:val="20"/>
        </w:rPr>
        <w:t>lly, the term</w:t>
      </w:r>
      <w:r w:rsidRPr="003471D8">
        <w:rPr>
          <w:rFonts w:eastAsia="MS Mincho"/>
          <w:sz w:val="20"/>
        </w:rPr>
        <w:t xml:space="preserve"> “vendors</w:t>
      </w:r>
      <w:r w:rsidR="00537D7E" w:rsidRPr="003471D8">
        <w:rPr>
          <w:rFonts w:eastAsia="MS Mincho"/>
          <w:sz w:val="20"/>
        </w:rPr>
        <w:t>” is</w:t>
      </w:r>
      <w:r w:rsidRPr="003471D8">
        <w:rPr>
          <w:rFonts w:eastAsia="MS Mincho"/>
          <w:sz w:val="20"/>
        </w:rPr>
        <w:t xml:space="preserve"> defined as </w:t>
      </w:r>
      <w:r w:rsidR="00537D7E" w:rsidRPr="003471D8">
        <w:rPr>
          <w:rFonts w:eastAsia="MS Mincho"/>
          <w:sz w:val="20"/>
        </w:rPr>
        <w:t>an entity</w:t>
      </w:r>
      <w:r w:rsidRPr="003471D8">
        <w:rPr>
          <w:rFonts w:eastAsia="MS Mincho"/>
          <w:sz w:val="20"/>
        </w:rPr>
        <w:t xml:space="preserve"> providing outsourcing services to </w:t>
      </w:r>
      <w:r w:rsidR="003471D8" w:rsidRPr="00471968">
        <w:rPr>
          <w:rFonts w:eastAsia="MS Mincho"/>
          <w:sz w:val="20"/>
          <w:highlight w:val="yellow"/>
          <w:u w:val="single"/>
        </w:rPr>
        <w:t>Firm Name</w:t>
      </w:r>
      <w:r w:rsidRPr="003471D8">
        <w:rPr>
          <w:rFonts w:eastAsia="MS Mincho"/>
          <w:sz w:val="20"/>
        </w:rPr>
        <w:t>.</w:t>
      </w:r>
      <w:r w:rsidR="00537D7E" w:rsidRPr="003471D8">
        <w:rPr>
          <w:rFonts w:eastAsia="MS Mincho"/>
          <w:sz w:val="20"/>
        </w:rPr>
        <w:t xml:space="preserve">  </w:t>
      </w:r>
      <w:proofErr w:type="gramStart"/>
      <w:r w:rsidR="00537D7E" w:rsidRPr="003471D8">
        <w:rPr>
          <w:rFonts w:eastAsia="MS Mincho"/>
          <w:sz w:val="20"/>
        </w:rPr>
        <w:t>Whereas, “third-party” is defined as a vendor of the Firm’s vendor.</w:t>
      </w:r>
      <w:proofErr w:type="gramEnd"/>
    </w:p>
    <w:p w:rsidR="00DA6BEA" w:rsidRPr="003471D8" w:rsidRDefault="00DA6BEA" w:rsidP="00DA6BEA">
      <w:pPr>
        <w:pStyle w:val="Heading1"/>
        <w:rPr>
          <w:rFonts w:eastAsia="MS Mincho"/>
          <w:color w:val="auto"/>
          <w:sz w:val="20"/>
        </w:rPr>
      </w:pPr>
      <w:bookmarkStart w:id="5" w:name="_Toc475534797"/>
      <w:r w:rsidRPr="003471D8">
        <w:rPr>
          <w:color w:val="auto"/>
        </w:rPr>
        <w:t>2.0 Purpose</w:t>
      </w:r>
      <w:bookmarkEnd w:id="4"/>
      <w:bookmarkEnd w:id="5"/>
    </w:p>
    <w:p w:rsidR="00DA6BEA" w:rsidRPr="003471D8" w:rsidRDefault="00DA6BEA" w:rsidP="00DA6BEA">
      <w:pPr>
        <w:rPr>
          <w:rFonts w:eastAsia="MS Mincho"/>
          <w:sz w:val="20"/>
        </w:rPr>
      </w:pPr>
      <w:r w:rsidRPr="003471D8">
        <w:rPr>
          <w:rFonts w:eastAsia="MS Mincho"/>
          <w:sz w:val="20"/>
        </w:rPr>
        <w:t xml:space="preserve">The purpose of this policy is to </w:t>
      </w:r>
      <w:r w:rsidR="007C1E86" w:rsidRPr="003471D8">
        <w:rPr>
          <w:rFonts w:eastAsia="MS Mincho"/>
          <w:sz w:val="20"/>
        </w:rPr>
        <w:t xml:space="preserve">set forth a formalized Vendor Management policy that is to be adhered to and utilized throughout the </w:t>
      </w:r>
      <w:r w:rsidR="00EA7982" w:rsidRPr="003471D8">
        <w:rPr>
          <w:rFonts w:eastAsia="MS Mincho"/>
          <w:sz w:val="20"/>
        </w:rPr>
        <w:t>Firm</w:t>
      </w:r>
      <w:r w:rsidR="007C1E86" w:rsidRPr="003471D8">
        <w:rPr>
          <w:rFonts w:eastAsia="MS Mincho"/>
          <w:sz w:val="20"/>
        </w:rPr>
        <w:t xml:space="preserve"> at all times</w:t>
      </w:r>
      <w:r w:rsidR="00AE12C0" w:rsidRPr="003471D8">
        <w:rPr>
          <w:rFonts w:eastAsia="MS Mincho"/>
          <w:sz w:val="20"/>
        </w:rPr>
        <w:t>.</w:t>
      </w:r>
      <w:r w:rsidR="007C1E86" w:rsidRPr="003471D8">
        <w:rPr>
          <w:rFonts w:eastAsia="MS Mincho"/>
          <w:sz w:val="20"/>
        </w:rPr>
        <w:t xml:space="preserve">  Compliance with the state</w:t>
      </w:r>
      <w:r w:rsidR="008327AE" w:rsidRPr="003471D8">
        <w:rPr>
          <w:rFonts w:eastAsia="MS Mincho"/>
          <w:sz w:val="20"/>
        </w:rPr>
        <w:t>d</w:t>
      </w:r>
      <w:r w:rsidR="007C1E86" w:rsidRPr="003471D8">
        <w:rPr>
          <w:rFonts w:eastAsia="MS Mincho"/>
          <w:sz w:val="20"/>
        </w:rPr>
        <w:t xml:space="preserve"> policy and supporting procedures helps ensure the safety and security of </w:t>
      </w:r>
      <w:r w:rsidR="003471D8" w:rsidRPr="00471968">
        <w:rPr>
          <w:rFonts w:eastAsia="MS Mincho"/>
          <w:sz w:val="20"/>
          <w:highlight w:val="yellow"/>
          <w:u w:val="single"/>
        </w:rPr>
        <w:t>Firm Name</w:t>
      </w:r>
      <w:r w:rsidR="003471D8" w:rsidRPr="003471D8">
        <w:rPr>
          <w:rFonts w:eastAsia="MS Mincho"/>
          <w:sz w:val="20"/>
        </w:rPr>
        <w:t xml:space="preserve"> </w:t>
      </w:r>
      <w:r w:rsidR="007C1E86" w:rsidRPr="003471D8">
        <w:rPr>
          <w:rFonts w:eastAsia="MS Mincho"/>
          <w:sz w:val="20"/>
        </w:rPr>
        <w:t>system resources and information.</w:t>
      </w:r>
    </w:p>
    <w:p w:rsidR="00DA6BEA" w:rsidRPr="003471D8" w:rsidRDefault="00DA6BEA" w:rsidP="00DA6BEA">
      <w:pPr>
        <w:pStyle w:val="Heading1"/>
        <w:rPr>
          <w:rFonts w:eastAsia="MS Mincho"/>
          <w:color w:val="auto"/>
          <w:sz w:val="20"/>
        </w:rPr>
      </w:pPr>
      <w:bookmarkStart w:id="6" w:name="_Toc370741282"/>
      <w:bookmarkStart w:id="7" w:name="_Toc475534798"/>
      <w:r w:rsidRPr="003471D8">
        <w:rPr>
          <w:color w:val="auto"/>
        </w:rPr>
        <w:t>3.0 Scope</w:t>
      </w:r>
      <w:bookmarkEnd w:id="6"/>
      <w:bookmarkEnd w:id="7"/>
    </w:p>
    <w:p w:rsidR="00DA6BEA" w:rsidRPr="003471D8" w:rsidRDefault="00D81A05" w:rsidP="00DA6BEA">
      <w:pPr>
        <w:rPr>
          <w:rFonts w:eastAsia="MS Mincho"/>
          <w:sz w:val="20"/>
        </w:rPr>
      </w:pPr>
      <w:r w:rsidRPr="003471D8">
        <w:rPr>
          <w:rFonts w:eastAsia="MS Mincho"/>
          <w:sz w:val="20"/>
        </w:rPr>
        <w:t>This policy and supporting procedures encompasses all</w:t>
      </w:r>
      <w:r w:rsidR="00476E5B" w:rsidRPr="003471D8">
        <w:rPr>
          <w:rFonts w:eastAsia="MS Mincho"/>
          <w:sz w:val="20"/>
        </w:rPr>
        <w:t xml:space="preserve"> vendors who store/maintain/interact with</w:t>
      </w:r>
      <w:r w:rsidRPr="003471D8">
        <w:rPr>
          <w:rFonts w:eastAsia="MS Mincho"/>
          <w:sz w:val="20"/>
        </w:rPr>
        <w:t xml:space="preserve"> systems and information that are owned, operated, </w:t>
      </w:r>
      <w:r w:rsidR="00561FAD" w:rsidRPr="003471D8">
        <w:rPr>
          <w:rFonts w:eastAsia="MS Mincho"/>
          <w:sz w:val="20"/>
        </w:rPr>
        <w:t>or</w:t>
      </w:r>
      <w:r w:rsidRPr="003471D8">
        <w:rPr>
          <w:rFonts w:eastAsia="MS Mincho"/>
          <w:sz w:val="20"/>
        </w:rPr>
        <w:t xml:space="preserve"> maintained by </w:t>
      </w:r>
      <w:r w:rsidR="003471D8" w:rsidRPr="00471968">
        <w:rPr>
          <w:rFonts w:eastAsia="MS Mincho"/>
          <w:sz w:val="20"/>
          <w:highlight w:val="yellow"/>
          <w:u w:val="single"/>
        </w:rPr>
        <w:t>Firm Name</w:t>
      </w:r>
      <w:r w:rsidR="003471D8" w:rsidRPr="003471D8">
        <w:rPr>
          <w:rFonts w:eastAsia="MS Mincho"/>
          <w:sz w:val="20"/>
        </w:rPr>
        <w:t xml:space="preserve"> </w:t>
      </w:r>
      <w:r w:rsidRPr="003471D8">
        <w:rPr>
          <w:rFonts w:eastAsia="MS Mincho"/>
          <w:sz w:val="20"/>
        </w:rPr>
        <w:t>and all other system resources,</w:t>
      </w:r>
      <w:r w:rsidR="00476E5B" w:rsidRPr="003471D8">
        <w:rPr>
          <w:rFonts w:eastAsia="MS Mincho"/>
          <w:sz w:val="20"/>
        </w:rPr>
        <w:t xml:space="preserve"> both internally and externally</w:t>
      </w:r>
      <w:r w:rsidRPr="003471D8">
        <w:rPr>
          <w:rFonts w:eastAsia="MS Mincho"/>
          <w:sz w:val="20"/>
        </w:rPr>
        <w:t>.</w:t>
      </w:r>
    </w:p>
    <w:p w:rsidR="00D81A05" w:rsidRPr="003471D8" w:rsidRDefault="00D81A05" w:rsidP="00537D7E">
      <w:pPr>
        <w:ind w:left="720"/>
        <w:rPr>
          <w:rFonts w:eastAsia="MS Mincho"/>
          <w:sz w:val="20"/>
        </w:rPr>
      </w:pPr>
      <w:r w:rsidRPr="003471D8">
        <w:rPr>
          <w:rFonts w:eastAsia="MS Mincho"/>
          <w:sz w:val="20"/>
        </w:rPr>
        <w:lastRenderedPageBreak/>
        <w:t>Internal systems owned, operated, and</w:t>
      </w:r>
      <w:r w:rsidR="005F2AC9" w:rsidRPr="003471D8">
        <w:rPr>
          <w:rFonts w:eastAsia="MS Mincho"/>
          <w:sz w:val="20"/>
        </w:rPr>
        <w:t xml:space="preserve"> maintained by the Firm, all </w:t>
      </w:r>
      <w:r w:rsidRPr="003471D8">
        <w:rPr>
          <w:rFonts w:eastAsia="MS Mincho"/>
          <w:sz w:val="20"/>
        </w:rPr>
        <w:t xml:space="preserve">network devices (firewalls, routers, switches, etc) servers (physical and virtual), and any other system resources </w:t>
      </w:r>
      <w:r w:rsidR="005F2AC9" w:rsidRPr="003471D8">
        <w:rPr>
          <w:rFonts w:eastAsia="MS Mincho"/>
          <w:sz w:val="20"/>
        </w:rPr>
        <w:t xml:space="preserve">are </w:t>
      </w:r>
      <w:r w:rsidRPr="003471D8">
        <w:rPr>
          <w:rFonts w:eastAsia="MS Mincho"/>
          <w:sz w:val="20"/>
        </w:rPr>
        <w:t>deemed in scope.</w:t>
      </w:r>
    </w:p>
    <w:p w:rsidR="00D81A05" w:rsidRPr="003471D8" w:rsidRDefault="00D81A05" w:rsidP="00537D7E">
      <w:pPr>
        <w:ind w:left="7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 xml:space="preserve">External system resources owned, operated, and maintained by any entity other than </w:t>
      </w:r>
      <w:r w:rsidR="005056DB" w:rsidRPr="00471968">
        <w:rPr>
          <w:rFonts w:eastAsia="MS Mincho"/>
          <w:sz w:val="20"/>
          <w:highlight w:val="yellow"/>
          <w:u w:val="single"/>
        </w:rPr>
        <w:t>Firm Name</w:t>
      </w:r>
      <w:r w:rsidRPr="003471D8">
        <w:rPr>
          <w:rFonts w:eastAsia="MS Mincho"/>
          <w:sz w:val="20"/>
        </w:rPr>
        <w:t>, but for which these very resources may impact the confidentiality, integrity, availability, and overall security of the aforementioned description of “Internal System Resources”.</w:t>
      </w:r>
    </w:p>
    <w:p w:rsidR="00DA6BEA" w:rsidRPr="003471D8" w:rsidRDefault="00DA6BEA" w:rsidP="00046B11">
      <w:pPr>
        <w:pStyle w:val="Heading1"/>
        <w:rPr>
          <w:color w:val="auto"/>
        </w:rPr>
      </w:pPr>
      <w:bookmarkStart w:id="8" w:name="_Toc370741283"/>
      <w:bookmarkStart w:id="9" w:name="_Toc475534799"/>
      <w:r w:rsidRPr="003471D8">
        <w:rPr>
          <w:color w:val="auto"/>
        </w:rPr>
        <w:t xml:space="preserve">4.0 </w:t>
      </w:r>
      <w:bookmarkEnd w:id="8"/>
      <w:r w:rsidR="00FA59D1" w:rsidRPr="003471D8">
        <w:rPr>
          <w:color w:val="auto"/>
        </w:rPr>
        <w:t>Elements of Risk</w:t>
      </w:r>
      <w:bookmarkEnd w:id="9"/>
    </w:p>
    <w:p w:rsidR="002B6993" w:rsidRPr="003471D8" w:rsidRDefault="00FA59D1" w:rsidP="00046B11">
      <w:pPr>
        <w:keepNext/>
        <w:autoSpaceDN w:val="0"/>
        <w:spacing w:before="120" w:after="120"/>
        <w:ind w:left="360"/>
        <w:rPr>
          <w:sz w:val="20"/>
          <w:szCs w:val="20"/>
        </w:rPr>
      </w:pPr>
      <w:r w:rsidRPr="003471D8">
        <w:rPr>
          <w:rFonts w:eastAsia="MS Mincho"/>
          <w:sz w:val="20"/>
        </w:rPr>
        <w:t xml:space="preserve">When using the services of various vendors, a certain element of risk arises.  It is important to understand these risks, what they are, and how </w:t>
      </w:r>
      <w:r w:rsidR="003471D8" w:rsidRPr="00471968">
        <w:rPr>
          <w:rFonts w:eastAsia="MS Mincho"/>
          <w:sz w:val="20"/>
          <w:highlight w:val="yellow"/>
          <w:u w:val="single"/>
        </w:rPr>
        <w:t>Firm Name</w:t>
      </w:r>
      <w:r w:rsidR="003471D8" w:rsidRPr="003471D8">
        <w:rPr>
          <w:rFonts w:eastAsia="MS Mincho"/>
          <w:sz w:val="20"/>
        </w:rPr>
        <w:t xml:space="preserve"> </w:t>
      </w:r>
      <w:r w:rsidRPr="003471D8">
        <w:rPr>
          <w:rFonts w:eastAsia="MS Mincho"/>
          <w:sz w:val="20"/>
        </w:rPr>
        <w:t>can readily identify any issues, concerns, or constraints pertaining to these risks</w:t>
      </w:r>
      <w:r w:rsidR="002B6993" w:rsidRPr="003471D8">
        <w:rPr>
          <w:rFonts w:eastAsia="MS Mincho"/>
          <w:sz w:val="20"/>
        </w:rPr>
        <w:t>.</w:t>
      </w:r>
    </w:p>
    <w:p w:rsidR="002B6993" w:rsidRPr="003471D8" w:rsidRDefault="00FA59D1" w:rsidP="009E789C">
      <w:pPr>
        <w:pStyle w:val="NumberedList"/>
      </w:pPr>
      <w:r w:rsidRPr="003471D8">
        <w:rPr>
          <w:b/>
        </w:rPr>
        <w:t>Compliance Risk</w:t>
      </w:r>
      <w:r w:rsidRPr="003471D8">
        <w:t xml:space="preserve"> – Risks arising from violations of applicable laws, rules, and regulatory mandates (i.e., PII, HIPAA).</w:t>
      </w:r>
    </w:p>
    <w:p w:rsidR="00FA59D1" w:rsidRPr="003471D8" w:rsidRDefault="00FA59D1" w:rsidP="009E789C">
      <w:pPr>
        <w:pStyle w:val="NumberedList"/>
      </w:pPr>
      <w:r w:rsidRPr="003471D8">
        <w:rPr>
          <w:b/>
        </w:rPr>
        <w:t>Strategic Risk</w:t>
      </w:r>
      <w:r w:rsidRPr="003471D8">
        <w:t xml:space="preserve"> </w:t>
      </w:r>
      <w:r w:rsidR="006F362A" w:rsidRPr="003471D8">
        <w:t>–</w:t>
      </w:r>
      <w:r w:rsidRPr="003471D8">
        <w:t xml:space="preserve"> </w:t>
      </w:r>
      <w:r w:rsidR="006F362A" w:rsidRPr="003471D8">
        <w:t xml:space="preserve">Risks arising from </w:t>
      </w:r>
      <w:r w:rsidR="00E80BAF" w:rsidRPr="003471D8">
        <w:t>vendors</w:t>
      </w:r>
      <w:r w:rsidR="006F362A" w:rsidRPr="003471D8">
        <w:t xml:space="preserve"> failing to implement business initiatives that align with the overall goa</w:t>
      </w:r>
      <w:r w:rsidR="0032619C" w:rsidRPr="003471D8">
        <w:t>l</w:t>
      </w:r>
      <w:r w:rsidR="006F362A" w:rsidRPr="003471D8">
        <w:t xml:space="preserve">s of </w:t>
      </w:r>
      <w:r w:rsidR="003471D8" w:rsidRPr="00471968">
        <w:rPr>
          <w:highlight w:val="yellow"/>
          <w:u w:val="single"/>
        </w:rPr>
        <w:t>Firm Name</w:t>
      </w:r>
      <w:r w:rsidR="006F362A" w:rsidRPr="003471D8">
        <w:t>, such as not offering an acceptable return on investment.</w:t>
      </w:r>
    </w:p>
    <w:p w:rsidR="006F362A" w:rsidRPr="003471D8" w:rsidRDefault="006F362A" w:rsidP="009E789C">
      <w:pPr>
        <w:pStyle w:val="NumberedList"/>
      </w:pPr>
      <w:r w:rsidRPr="003471D8">
        <w:rPr>
          <w:b/>
        </w:rPr>
        <w:t>Operational Risk</w:t>
      </w:r>
      <w:r w:rsidRPr="003471D8">
        <w:t xml:space="preserve"> – Risks arising from a failed system of operational controls related to uptime.</w:t>
      </w:r>
    </w:p>
    <w:p w:rsidR="006F362A" w:rsidRPr="003471D8" w:rsidRDefault="006F362A" w:rsidP="009E789C">
      <w:pPr>
        <w:pStyle w:val="NumberedList"/>
      </w:pPr>
      <w:r w:rsidRPr="003471D8">
        <w:rPr>
          <w:b/>
        </w:rPr>
        <w:t>Information Technology Risk</w:t>
      </w:r>
      <w:r w:rsidRPr="003471D8">
        <w:t xml:space="preserve"> – Risks arising from any number of information technology and information security issues, such as inadequate IT resources.</w:t>
      </w:r>
    </w:p>
    <w:p w:rsidR="00E80BAF" w:rsidRPr="003471D8" w:rsidRDefault="00E80BAF" w:rsidP="009E789C">
      <w:pPr>
        <w:pStyle w:val="NumberedList"/>
      </w:pPr>
      <w:r w:rsidRPr="003471D8">
        <w:rPr>
          <w:b/>
        </w:rPr>
        <w:t xml:space="preserve">Financial Risk </w:t>
      </w:r>
      <w:r w:rsidRPr="003471D8">
        <w:t>– Under the discretion of Senior Management or the decision maker; and/or involvement of a “mission critical” system</w:t>
      </w:r>
      <w:r w:rsidR="000D4A9A" w:rsidRPr="003471D8">
        <w:t xml:space="preserve"> – a financially stable entity is of upmost importance.</w:t>
      </w:r>
    </w:p>
    <w:p w:rsidR="00DA6BEA" w:rsidRPr="003471D8" w:rsidRDefault="009D1607" w:rsidP="00DA6BEA">
      <w:pPr>
        <w:pStyle w:val="Heading1"/>
        <w:rPr>
          <w:rFonts w:eastAsia="MS Mincho"/>
          <w:color w:val="auto"/>
          <w:sz w:val="20"/>
        </w:rPr>
      </w:pPr>
      <w:bookmarkStart w:id="10" w:name="_Toc370741284"/>
      <w:bookmarkStart w:id="11" w:name="_Toc475534800"/>
      <w:r w:rsidRPr="003471D8">
        <w:rPr>
          <w:color w:val="auto"/>
        </w:rPr>
        <w:t xml:space="preserve">5.0 </w:t>
      </w:r>
      <w:bookmarkEnd w:id="10"/>
      <w:r w:rsidR="00B61CFA" w:rsidRPr="003471D8">
        <w:rPr>
          <w:color w:val="auto"/>
        </w:rPr>
        <w:t>Due Diligence</w:t>
      </w:r>
      <w:bookmarkEnd w:id="11"/>
      <w:r w:rsidR="00DA6BEA" w:rsidRPr="003471D8">
        <w:rPr>
          <w:color w:val="auto"/>
        </w:rPr>
        <w:t xml:space="preserve"> </w:t>
      </w:r>
    </w:p>
    <w:p w:rsidR="004D5ED1" w:rsidRPr="003471D8" w:rsidRDefault="001B2D4D" w:rsidP="001B2D4D">
      <w:pPr>
        <w:rPr>
          <w:rFonts w:eastAsia="MS Mincho"/>
          <w:sz w:val="20"/>
        </w:rPr>
      </w:pPr>
      <w:r w:rsidRPr="003471D8">
        <w:rPr>
          <w:rFonts w:eastAsia="MS Mincho"/>
          <w:sz w:val="20"/>
        </w:rPr>
        <w:t>The selection process f</w:t>
      </w:r>
      <w:r w:rsidR="00E80BAF" w:rsidRPr="003471D8">
        <w:rPr>
          <w:rFonts w:eastAsia="MS Mincho"/>
          <w:sz w:val="20"/>
        </w:rPr>
        <w:t xml:space="preserve">or new vendors consist of certifying </w:t>
      </w:r>
      <w:r w:rsidRPr="003471D8">
        <w:rPr>
          <w:rFonts w:eastAsia="MS Mincho"/>
          <w:sz w:val="20"/>
        </w:rPr>
        <w:t xml:space="preserve">all the relevant aforementioned risk areas have been thoroughly </w:t>
      </w:r>
      <w:r w:rsidR="00E80BAF" w:rsidRPr="003471D8">
        <w:rPr>
          <w:rFonts w:eastAsia="MS Mincho"/>
          <w:sz w:val="20"/>
        </w:rPr>
        <w:t>identified</w:t>
      </w:r>
      <w:r w:rsidRPr="003471D8">
        <w:rPr>
          <w:rFonts w:eastAsia="MS Mincho"/>
          <w:sz w:val="20"/>
        </w:rPr>
        <w:t xml:space="preserve"> by </w:t>
      </w:r>
      <w:r w:rsidR="003471D8" w:rsidRPr="00471968">
        <w:rPr>
          <w:rFonts w:eastAsia="MS Mincho"/>
          <w:sz w:val="20"/>
          <w:highlight w:val="yellow"/>
          <w:u w:val="single"/>
        </w:rPr>
        <w:t>Firm Name</w:t>
      </w:r>
      <w:r w:rsidRPr="003471D8">
        <w:rPr>
          <w:rFonts w:eastAsia="MS Mincho"/>
          <w:sz w:val="20"/>
        </w:rPr>
        <w:t xml:space="preserve">, which </w:t>
      </w:r>
      <w:r w:rsidR="00E80BAF" w:rsidRPr="003471D8">
        <w:rPr>
          <w:rFonts w:eastAsia="MS Mincho"/>
          <w:sz w:val="20"/>
        </w:rPr>
        <w:t>may include</w:t>
      </w:r>
      <w:r w:rsidRPr="003471D8">
        <w:rPr>
          <w:rFonts w:eastAsia="MS Mincho"/>
          <w:sz w:val="20"/>
        </w:rPr>
        <w:t xml:space="preserve"> the following measures:</w:t>
      </w:r>
    </w:p>
    <w:p w:rsidR="00A45505" w:rsidRPr="003471D8" w:rsidRDefault="000B6022" w:rsidP="001B2D4D">
      <w:pPr>
        <w:pStyle w:val="ListParagraph"/>
        <w:numPr>
          <w:ilvl w:val="0"/>
          <w:numId w:val="39"/>
        </w:numPr>
        <w:rPr>
          <w:rFonts w:eastAsia="MS Mincho"/>
          <w:sz w:val="20"/>
        </w:rPr>
      </w:pPr>
      <w:r w:rsidRPr="003471D8">
        <w:rPr>
          <w:rFonts w:eastAsia="MS Mincho"/>
          <w:sz w:val="20"/>
        </w:rPr>
        <w:t>Collection</w:t>
      </w:r>
      <w:r w:rsidR="00A45505" w:rsidRPr="003471D8">
        <w:rPr>
          <w:rFonts w:eastAsia="MS Mincho"/>
          <w:sz w:val="20"/>
        </w:rPr>
        <w:t xml:space="preserve"> of all regulatory compliance and operational audits and assessments.</w:t>
      </w:r>
    </w:p>
    <w:p w:rsidR="00A45505" w:rsidRPr="003471D8" w:rsidRDefault="00A45505" w:rsidP="001B2D4D">
      <w:pPr>
        <w:pStyle w:val="ListParagraph"/>
        <w:numPr>
          <w:ilvl w:val="0"/>
          <w:numId w:val="39"/>
        </w:numPr>
        <w:rPr>
          <w:rFonts w:eastAsia="MS Mincho"/>
          <w:sz w:val="20"/>
        </w:rPr>
      </w:pPr>
      <w:r w:rsidRPr="003471D8">
        <w:rPr>
          <w:rFonts w:eastAsia="MS Mincho"/>
          <w:sz w:val="20"/>
        </w:rPr>
        <w:t>Experience and overall business “know-how”.</w:t>
      </w:r>
    </w:p>
    <w:p w:rsidR="00A45505" w:rsidRPr="003471D8" w:rsidRDefault="00A45505" w:rsidP="001B2D4D">
      <w:pPr>
        <w:pStyle w:val="ListParagraph"/>
        <w:numPr>
          <w:ilvl w:val="0"/>
          <w:numId w:val="39"/>
        </w:numPr>
        <w:rPr>
          <w:rFonts w:eastAsia="MS Mincho"/>
          <w:sz w:val="20"/>
        </w:rPr>
      </w:pPr>
      <w:r w:rsidRPr="003471D8">
        <w:rPr>
          <w:rFonts w:eastAsia="MS Mincho"/>
          <w:sz w:val="20"/>
        </w:rPr>
        <w:t>Operational capacity and scalability.</w:t>
      </w:r>
    </w:p>
    <w:p w:rsidR="00A45505" w:rsidRPr="003471D8" w:rsidRDefault="00A45505" w:rsidP="001B2D4D">
      <w:pPr>
        <w:pStyle w:val="ListParagraph"/>
        <w:numPr>
          <w:ilvl w:val="0"/>
          <w:numId w:val="39"/>
        </w:numPr>
        <w:rPr>
          <w:rFonts w:eastAsia="MS Mincho"/>
          <w:sz w:val="20"/>
        </w:rPr>
      </w:pPr>
      <w:r w:rsidRPr="003471D8">
        <w:rPr>
          <w:rFonts w:eastAsia="MS Mincho"/>
          <w:sz w:val="20"/>
        </w:rPr>
        <w:t>Use of other third-parties by the vendors themselves.</w:t>
      </w:r>
    </w:p>
    <w:p w:rsidR="00A45505" w:rsidRPr="003471D8" w:rsidRDefault="00A45505" w:rsidP="001B2D4D">
      <w:pPr>
        <w:pStyle w:val="ListParagraph"/>
        <w:numPr>
          <w:ilvl w:val="0"/>
          <w:numId w:val="39"/>
        </w:numPr>
        <w:rPr>
          <w:rFonts w:eastAsia="MS Mincho"/>
          <w:sz w:val="20"/>
        </w:rPr>
      </w:pPr>
      <w:r w:rsidRPr="003471D8">
        <w:rPr>
          <w:rFonts w:eastAsia="MS Mincho"/>
          <w:sz w:val="20"/>
        </w:rPr>
        <w:t>Reputation within the industry.</w:t>
      </w:r>
    </w:p>
    <w:p w:rsidR="00A45505" w:rsidRPr="003471D8" w:rsidRDefault="000B6022" w:rsidP="001B2D4D">
      <w:pPr>
        <w:pStyle w:val="ListParagraph"/>
        <w:numPr>
          <w:ilvl w:val="0"/>
          <w:numId w:val="39"/>
        </w:numPr>
        <w:rPr>
          <w:rFonts w:eastAsia="MS Mincho"/>
          <w:sz w:val="20"/>
        </w:rPr>
      </w:pPr>
      <w:r w:rsidRPr="003471D8">
        <w:rPr>
          <w:rFonts w:eastAsia="MS Mincho"/>
          <w:sz w:val="20"/>
        </w:rPr>
        <w:t>Gathering</w:t>
      </w:r>
      <w:r w:rsidR="00BC13B2" w:rsidRPr="003471D8">
        <w:rPr>
          <w:rFonts w:eastAsia="MS Mincho"/>
          <w:sz w:val="20"/>
        </w:rPr>
        <w:t xml:space="preserve"> of operational, business specific, and information security policies, procedures, and practices (i.e., incident response, security awareness, business continuity, and disaster recovery planning).</w:t>
      </w:r>
    </w:p>
    <w:p w:rsidR="00BC13B2" w:rsidRPr="003471D8" w:rsidRDefault="000B6022" w:rsidP="001B2D4D">
      <w:pPr>
        <w:pStyle w:val="ListParagraph"/>
        <w:numPr>
          <w:ilvl w:val="0"/>
          <w:numId w:val="39"/>
        </w:numPr>
        <w:rPr>
          <w:rFonts w:eastAsia="MS Mincho"/>
          <w:sz w:val="20"/>
        </w:rPr>
      </w:pPr>
      <w:r w:rsidRPr="003471D8">
        <w:rPr>
          <w:rFonts w:eastAsia="MS Mincho"/>
          <w:sz w:val="20"/>
        </w:rPr>
        <w:t xml:space="preserve">Cyber </w:t>
      </w:r>
      <w:r w:rsidR="00BC13B2" w:rsidRPr="003471D8">
        <w:rPr>
          <w:rFonts w:eastAsia="MS Mincho"/>
          <w:sz w:val="20"/>
        </w:rPr>
        <w:t>Insurance coverage.</w:t>
      </w:r>
    </w:p>
    <w:p w:rsidR="004363D2" w:rsidRPr="003471D8" w:rsidRDefault="00CB15D0" w:rsidP="008C58FC">
      <w:pPr>
        <w:pStyle w:val="Heading1"/>
        <w:rPr>
          <w:color w:val="auto"/>
        </w:rPr>
      </w:pPr>
      <w:bookmarkStart w:id="12" w:name="_Toc475534801"/>
      <w:r w:rsidRPr="003471D8">
        <w:rPr>
          <w:color w:val="auto"/>
        </w:rPr>
        <w:t xml:space="preserve">6.0 </w:t>
      </w:r>
      <w:r w:rsidR="00E81B5A" w:rsidRPr="003471D8">
        <w:rPr>
          <w:color w:val="auto"/>
        </w:rPr>
        <w:t>Contractual Documentation</w:t>
      </w:r>
      <w:bookmarkEnd w:id="12"/>
    </w:p>
    <w:p w:rsidR="00775BDB" w:rsidRPr="003471D8" w:rsidRDefault="00E81B5A" w:rsidP="00E81B5A">
      <w:p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 xml:space="preserve">Once vendors have been selected for providing critical outsourcing services to </w:t>
      </w:r>
      <w:r w:rsidR="005056DB" w:rsidRPr="00471968">
        <w:rPr>
          <w:rFonts w:eastAsia="MS Mincho"/>
          <w:sz w:val="20"/>
          <w:highlight w:val="yellow"/>
          <w:u w:val="single"/>
        </w:rPr>
        <w:t>Firm Name</w:t>
      </w:r>
      <w:r w:rsidRPr="003471D8">
        <w:rPr>
          <w:rFonts w:eastAsia="MS Mincho"/>
          <w:sz w:val="20"/>
        </w:rPr>
        <w:t>, the following procedures are to be undertaken regarding contractual documentation:</w:t>
      </w:r>
    </w:p>
    <w:p w:rsidR="00E81B5A" w:rsidRPr="003471D8" w:rsidRDefault="00E81B5A" w:rsidP="00E81B5A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>A formalized and written contract has been produced including identification of roles, responsibilities, obligations, and expectations from all relevant parties.</w:t>
      </w:r>
    </w:p>
    <w:p w:rsidR="00E81B5A" w:rsidRPr="003471D8" w:rsidRDefault="00E81B5A" w:rsidP="00E81B5A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>The contract has been approved by a member of senior management of the Firm which may also include key stakeholders.</w:t>
      </w:r>
    </w:p>
    <w:p w:rsidR="00A07122" w:rsidRPr="003471D8" w:rsidRDefault="00A07122" w:rsidP="00A07122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>Information security protection measures appropriately documented.</w:t>
      </w:r>
    </w:p>
    <w:p w:rsidR="00A07122" w:rsidRPr="003471D8" w:rsidRDefault="004D6FBA" w:rsidP="00A07122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 xml:space="preserve">Non-Disclosure Agreement (NDA) has been signed for any </w:t>
      </w:r>
      <w:r w:rsidR="00FC49DA" w:rsidRPr="003471D8">
        <w:rPr>
          <w:rFonts w:eastAsia="MS Mincho"/>
          <w:sz w:val="20"/>
        </w:rPr>
        <w:t xml:space="preserve">Vendor </w:t>
      </w:r>
      <w:r w:rsidRPr="003471D8">
        <w:rPr>
          <w:rFonts w:eastAsia="MS Mincho"/>
          <w:sz w:val="20"/>
        </w:rPr>
        <w:t>with visibility to the Firm’s information.</w:t>
      </w:r>
    </w:p>
    <w:p w:rsidR="00A07122" w:rsidRPr="003471D8" w:rsidRDefault="00227B06" w:rsidP="00A07122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 xml:space="preserve">If vendor stores/processes </w:t>
      </w:r>
      <w:r w:rsidR="005056DB" w:rsidRPr="00471968">
        <w:rPr>
          <w:rFonts w:eastAsia="MS Mincho"/>
          <w:sz w:val="20"/>
          <w:highlight w:val="yellow"/>
          <w:u w:val="single"/>
        </w:rPr>
        <w:t>Firm Name</w:t>
      </w:r>
      <w:r w:rsidR="005056DB" w:rsidRPr="003471D8">
        <w:rPr>
          <w:rFonts w:eastAsia="MS Mincho"/>
          <w:sz w:val="20"/>
        </w:rPr>
        <w:t xml:space="preserve"> </w:t>
      </w:r>
      <w:r w:rsidRPr="003471D8">
        <w:rPr>
          <w:rFonts w:eastAsia="MS Mincho"/>
          <w:sz w:val="20"/>
        </w:rPr>
        <w:t>information through a cloud solution</w:t>
      </w:r>
      <w:r w:rsidR="00D43190" w:rsidRPr="003471D8">
        <w:rPr>
          <w:rFonts w:eastAsia="MS Mincho"/>
          <w:sz w:val="20"/>
        </w:rPr>
        <w:t>, an</w:t>
      </w:r>
      <w:r w:rsidR="004D6FBA" w:rsidRPr="003471D8">
        <w:rPr>
          <w:rFonts w:eastAsia="MS Mincho"/>
          <w:sz w:val="20"/>
        </w:rPr>
        <w:t xml:space="preserve"> </w:t>
      </w:r>
      <w:r w:rsidR="00B462C3" w:rsidRPr="003471D8">
        <w:rPr>
          <w:rFonts w:eastAsia="MS Mincho"/>
          <w:sz w:val="20"/>
        </w:rPr>
        <w:t>Exit Strategy</w:t>
      </w:r>
      <w:r w:rsidR="004D6FBA" w:rsidRPr="003471D8">
        <w:rPr>
          <w:rFonts w:eastAsia="MS Mincho"/>
          <w:sz w:val="20"/>
        </w:rPr>
        <w:t xml:space="preserve"> </w:t>
      </w:r>
      <w:r w:rsidRPr="003471D8">
        <w:rPr>
          <w:rFonts w:eastAsia="MS Mincho"/>
          <w:sz w:val="20"/>
        </w:rPr>
        <w:t>may need to be</w:t>
      </w:r>
      <w:r w:rsidR="004D6FBA" w:rsidRPr="003471D8">
        <w:rPr>
          <w:rFonts w:eastAsia="MS Mincho"/>
          <w:sz w:val="20"/>
        </w:rPr>
        <w:t xml:space="preserve"> clearly defined in the event the services are no longer needed.</w:t>
      </w:r>
      <w:r w:rsidRPr="003471D8">
        <w:rPr>
          <w:rFonts w:eastAsia="MS Mincho"/>
          <w:sz w:val="20"/>
        </w:rPr>
        <w:t xml:space="preserve"> </w:t>
      </w:r>
      <w:r w:rsidR="008774B9" w:rsidRPr="003471D8">
        <w:rPr>
          <w:rFonts w:eastAsia="MS Mincho"/>
          <w:sz w:val="20"/>
        </w:rPr>
        <w:t>Under the discretion of senior management, this may include language in the return of firm information, or the certifiable destruction of that data.</w:t>
      </w:r>
    </w:p>
    <w:p w:rsidR="00A95EB8" w:rsidRPr="003471D8" w:rsidRDefault="004D6FBA" w:rsidP="004D6FBA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lastRenderedPageBreak/>
        <w:t>Stipulations included</w:t>
      </w:r>
      <w:r w:rsidR="00A95EB8" w:rsidRPr="003471D8">
        <w:rPr>
          <w:rFonts w:eastAsia="MS Mincho"/>
          <w:sz w:val="20"/>
        </w:rPr>
        <w:t xml:space="preserve"> that</w:t>
      </w:r>
      <w:r w:rsidRPr="003471D8">
        <w:rPr>
          <w:rFonts w:eastAsia="MS Mincho"/>
          <w:sz w:val="20"/>
        </w:rPr>
        <w:t xml:space="preserve"> the </w:t>
      </w:r>
      <w:r w:rsidR="00D43190" w:rsidRPr="003471D8">
        <w:rPr>
          <w:rFonts w:eastAsia="MS Mincho"/>
          <w:sz w:val="20"/>
        </w:rPr>
        <w:t>vendor</w:t>
      </w:r>
      <w:r w:rsidRPr="003471D8">
        <w:rPr>
          <w:rFonts w:eastAsia="MS Mincho"/>
          <w:sz w:val="20"/>
        </w:rPr>
        <w:t xml:space="preserve"> must notify the Firm</w:t>
      </w:r>
      <w:r w:rsidR="00A95EB8" w:rsidRPr="003471D8">
        <w:rPr>
          <w:rFonts w:eastAsia="MS Mincho"/>
          <w:sz w:val="20"/>
        </w:rPr>
        <w:t xml:space="preserve"> immediately of any security</w:t>
      </w:r>
      <w:r w:rsidR="00A95EB8" w:rsidRPr="003471D8">
        <w:t xml:space="preserve"> </w:t>
      </w:r>
      <w:r w:rsidR="00A95EB8" w:rsidRPr="003471D8">
        <w:rPr>
          <w:rFonts w:eastAsia="MS Mincho"/>
          <w:sz w:val="20"/>
        </w:rPr>
        <w:t xml:space="preserve">incident likely to impact sensitive </w:t>
      </w:r>
      <w:r w:rsidRPr="003471D8">
        <w:rPr>
          <w:rFonts w:eastAsia="MS Mincho"/>
          <w:sz w:val="20"/>
        </w:rPr>
        <w:t>Firm</w:t>
      </w:r>
      <w:r w:rsidR="00A95EB8" w:rsidRPr="003471D8">
        <w:rPr>
          <w:rFonts w:eastAsia="MS Mincho"/>
          <w:sz w:val="20"/>
        </w:rPr>
        <w:t xml:space="preserve"> information under their control. </w:t>
      </w:r>
    </w:p>
    <w:p w:rsidR="00A95EB8" w:rsidRPr="003471D8" w:rsidRDefault="00A95EB8" w:rsidP="004D6FBA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 xml:space="preserve">All contracts with web site hosting organizations, application service providers, managed systems security providers, and other information systems outsourcing organizations must include both a documented backup plan and a periodic </w:t>
      </w:r>
      <w:r w:rsidR="00FC49DA" w:rsidRPr="003471D8">
        <w:rPr>
          <w:rFonts w:eastAsia="MS Mincho"/>
          <w:sz w:val="20"/>
        </w:rPr>
        <w:t xml:space="preserve">Vendor </w:t>
      </w:r>
      <w:r w:rsidRPr="003471D8">
        <w:rPr>
          <w:rFonts w:eastAsia="MS Mincho"/>
          <w:sz w:val="20"/>
        </w:rPr>
        <w:t>testing schedule.</w:t>
      </w:r>
    </w:p>
    <w:p w:rsidR="00FC49DA" w:rsidRPr="003471D8" w:rsidRDefault="008E6078" w:rsidP="008E6078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>A</w:t>
      </w:r>
      <w:r w:rsidR="00A95EB8" w:rsidRPr="003471D8">
        <w:rPr>
          <w:rFonts w:eastAsia="MS Mincho"/>
          <w:sz w:val="20"/>
        </w:rPr>
        <w:t xml:space="preserve">greements with </w:t>
      </w:r>
      <w:r w:rsidR="00FC49DA" w:rsidRPr="003471D8">
        <w:rPr>
          <w:rFonts w:eastAsia="MS Mincho"/>
          <w:sz w:val="20"/>
        </w:rPr>
        <w:t>vendors</w:t>
      </w:r>
      <w:r w:rsidR="00A95EB8" w:rsidRPr="003471D8">
        <w:rPr>
          <w:rFonts w:eastAsia="MS Mincho"/>
          <w:sz w:val="20"/>
        </w:rPr>
        <w:t xml:space="preserve">, such as suppliers, service providers, and business partners, which could negatively impact the business processes of </w:t>
      </w:r>
      <w:r w:rsidR="00B746BC" w:rsidRPr="003471D8">
        <w:rPr>
          <w:rFonts w:eastAsia="MS Mincho"/>
          <w:sz w:val="20"/>
        </w:rPr>
        <w:t>the Firm</w:t>
      </w:r>
      <w:r w:rsidR="00A95EB8" w:rsidRPr="003471D8">
        <w:rPr>
          <w:rFonts w:eastAsia="MS Mincho"/>
          <w:sz w:val="20"/>
        </w:rPr>
        <w:t xml:space="preserve"> must define service level agreements and require minimum standards of contingency planning and p</w:t>
      </w:r>
      <w:r w:rsidR="00D43190" w:rsidRPr="003471D8">
        <w:rPr>
          <w:rFonts w:eastAsia="MS Mincho"/>
          <w:sz w:val="20"/>
        </w:rPr>
        <w:t>reparation on the part of the vendor</w:t>
      </w:r>
      <w:r w:rsidR="00A95EB8" w:rsidRPr="003471D8">
        <w:rPr>
          <w:rFonts w:eastAsia="MS Mincho"/>
          <w:sz w:val="20"/>
        </w:rPr>
        <w:t>. </w:t>
      </w:r>
    </w:p>
    <w:p w:rsidR="00A95EB8" w:rsidRPr="003471D8" w:rsidRDefault="00FC49DA" w:rsidP="008E6078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>Vendors hold their vendors (third-parties) to the same standards.</w:t>
      </w:r>
      <w:r w:rsidR="00A95EB8" w:rsidRPr="003471D8">
        <w:rPr>
          <w:rFonts w:eastAsia="MS Mincho"/>
          <w:sz w:val="20"/>
        </w:rPr>
        <w:t xml:space="preserve"> </w:t>
      </w:r>
    </w:p>
    <w:p w:rsidR="002033A1" w:rsidRPr="003471D8" w:rsidRDefault="00B92D76" w:rsidP="00A95EB8">
      <w:pPr>
        <w:pStyle w:val="Heading1"/>
        <w:rPr>
          <w:color w:val="auto"/>
        </w:rPr>
      </w:pPr>
      <w:bookmarkStart w:id="13" w:name="_Toc475534802"/>
      <w:r w:rsidRPr="003471D8">
        <w:rPr>
          <w:color w:val="auto"/>
        </w:rPr>
        <w:t>7</w:t>
      </w:r>
      <w:r w:rsidR="0039356F" w:rsidRPr="003471D8">
        <w:rPr>
          <w:color w:val="auto"/>
        </w:rPr>
        <w:t xml:space="preserve">.0 </w:t>
      </w:r>
      <w:r w:rsidR="00FC49DA" w:rsidRPr="003471D8">
        <w:rPr>
          <w:color w:val="auto"/>
        </w:rPr>
        <w:t xml:space="preserve">Vendor </w:t>
      </w:r>
      <w:r w:rsidR="00A95EB8" w:rsidRPr="003471D8">
        <w:rPr>
          <w:color w:val="auto"/>
        </w:rPr>
        <w:t>Access Control</w:t>
      </w:r>
      <w:bookmarkEnd w:id="13"/>
    </w:p>
    <w:p w:rsidR="002033A1" w:rsidRPr="003471D8" w:rsidRDefault="00FC49DA" w:rsidP="0039356F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sz w:val="20"/>
        </w:rPr>
        <w:t xml:space="preserve">Vendor </w:t>
      </w:r>
      <w:r w:rsidR="002033A1" w:rsidRPr="003471D8">
        <w:rPr>
          <w:rFonts w:eastAsia="MS Mincho"/>
          <w:sz w:val="20"/>
        </w:rPr>
        <w:t xml:space="preserve">access to any </w:t>
      </w:r>
      <w:r w:rsidR="00D07197" w:rsidRPr="003471D8">
        <w:rPr>
          <w:rFonts w:eastAsia="MS Mincho"/>
          <w:sz w:val="20"/>
        </w:rPr>
        <w:t>Firm</w:t>
      </w:r>
      <w:r w:rsidR="002033A1" w:rsidRPr="003471D8">
        <w:rPr>
          <w:rFonts w:eastAsia="MS Mincho"/>
          <w:sz w:val="20"/>
        </w:rPr>
        <w:t xml:space="preserve"> internal computer systems that are not clearly public must be approved in advance by a designated </w:t>
      </w:r>
      <w:r w:rsidR="00BA7EF2" w:rsidRPr="003471D8">
        <w:rPr>
          <w:rFonts w:eastAsia="MS Mincho"/>
          <w:sz w:val="20"/>
        </w:rPr>
        <w:t>I</w:t>
      </w:r>
      <w:r w:rsidR="002033A1" w:rsidRPr="003471D8">
        <w:rPr>
          <w:rFonts w:eastAsia="MS Mincho"/>
          <w:sz w:val="20"/>
        </w:rPr>
        <w:t xml:space="preserve">nformation </w:t>
      </w:r>
      <w:r w:rsidR="00BA7EF2" w:rsidRPr="003471D8">
        <w:rPr>
          <w:rFonts w:eastAsia="MS Mincho"/>
          <w:sz w:val="20"/>
        </w:rPr>
        <w:t>S</w:t>
      </w:r>
      <w:r w:rsidR="002033A1" w:rsidRPr="003471D8">
        <w:rPr>
          <w:rFonts w:eastAsia="MS Mincho"/>
          <w:sz w:val="20"/>
        </w:rPr>
        <w:t xml:space="preserve">ecurity </w:t>
      </w:r>
      <w:r w:rsidR="00BA7EF2" w:rsidRPr="003471D8">
        <w:rPr>
          <w:rFonts w:eastAsia="MS Mincho"/>
          <w:sz w:val="20"/>
        </w:rPr>
        <w:t>T</w:t>
      </w:r>
      <w:r w:rsidR="00D07197" w:rsidRPr="003471D8">
        <w:rPr>
          <w:rFonts w:eastAsia="MS Mincho"/>
          <w:sz w:val="20"/>
        </w:rPr>
        <w:t>eam member</w:t>
      </w:r>
      <w:r w:rsidR="002033A1" w:rsidRPr="003471D8">
        <w:rPr>
          <w:rFonts w:eastAsia="MS Mincho"/>
          <w:sz w:val="20"/>
        </w:rPr>
        <w:t>.</w:t>
      </w:r>
    </w:p>
    <w:p w:rsidR="002033A1" w:rsidRPr="003471D8" w:rsidRDefault="00D07197" w:rsidP="0039356F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bCs/>
          <w:sz w:val="20"/>
        </w:rPr>
        <w:t xml:space="preserve">A </w:t>
      </w:r>
      <w:proofErr w:type="spellStart"/>
      <w:r w:rsidRPr="003471D8">
        <w:rPr>
          <w:rFonts w:eastAsia="MS Mincho"/>
          <w:bCs/>
          <w:sz w:val="20"/>
        </w:rPr>
        <w:t>UserID</w:t>
      </w:r>
      <w:proofErr w:type="spellEnd"/>
      <w:r w:rsidRPr="003471D8">
        <w:rPr>
          <w:rFonts w:eastAsia="MS Mincho"/>
          <w:bCs/>
          <w:sz w:val="20"/>
        </w:rPr>
        <w:t>, password, and</w:t>
      </w:r>
      <w:r w:rsidR="00954B39" w:rsidRPr="003471D8">
        <w:rPr>
          <w:rFonts w:eastAsia="MS Mincho"/>
          <w:sz w:val="20"/>
        </w:rPr>
        <w:t xml:space="preserve"> two-form authentication token will be assigned in respects to the </w:t>
      </w:r>
      <w:r w:rsidR="00954B39" w:rsidRPr="003471D8">
        <w:rPr>
          <w:rFonts w:eastAsia="MS Mincho"/>
          <w:i/>
          <w:sz w:val="20"/>
        </w:rPr>
        <w:t>Account Management Policy</w:t>
      </w:r>
      <w:r w:rsidR="00954B39" w:rsidRPr="003471D8">
        <w:rPr>
          <w:rFonts w:eastAsia="MS Mincho"/>
          <w:sz w:val="20"/>
        </w:rPr>
        <w:t>.</w:t>
      </w:r>
    </w:p>
    <w:p w:rsidR="002033A1" w:rsidRPr="003471D8" w:rsidRDefault="00B92D76" w:rsidP="00D658E4">
      <w:pPr>
        <w:pStyle w:val="Heading1"/>
        <w:rPr>
          <w:rStyle w:val="Strong"/>
          <w:color w:val="auto"/>
        </w:rPr>
      </w:pPr>
      <w:bookmarkStart w:id="14" w:name="_Toc475534803"/>
      <w:r w:rsidRPr="003471D8">
        <w:rPr>
          <w:rStyle w:val="Strong"/>
          <w:b/>
          <w:bCs/>
          <w:color w:val="auto"/>
        </w:rPr>
        <w:t>8</w:t>
      </w:r>
      <w:r w:rsidR="0039356F" w:rsidRPr="003471D8">
        <w:rPr>
          <w:rStyle w:val="Strong"/>
          <w:b/>
          <w:bCs/>
          <w:color w:val="auto"/>
        </w:rPr>
        <w:t xml:space="preserve">.0 </w:t>
      </w:r>
      <w:r w:rsidR="002033A1" w:rsidRPr="003471D8">
        <w:rPr>
          <w:rStyle w:val="Strong"/>
          <w:b/>
          <w:bCs/>
          <w:color w:val="auto"/>
        </w:rPr>
        <w:t>Information Exchange</w:t>
      </w:r>
      <w:bookmarkEnd w:id="14"/>
    </w:p>
    <w:p w:rsidR="002033A1" w:rsidRPr="003471D8" w:rsidRDefault="00FC49DA" w:rsidP="0039356F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b/>
          <w:bCs/>
          <w:sz w:val="20"/>
        </w:rPr>
        <w:t>Vendor</w:t>
      </w:r>
      <w:r w:rsidR="00D43190" w:rsidRPr="003471D8">
        <w:rPr>
          <w:rFonts w:eastAsia="MS Mincho"/>
          <w:b/>
          <w:bCs/>
          <w:sz w:val="20"/>
        </w:rPr>
        <w:t xml:space="preserve"> </w:t>
      </w:r>
      <w:r w:rsidR="002033A1" w:rsidRPr="003471D8">
        <w:rPr>
          <w:rFonts w:eastAsia="MS Mincho"/>
          <w:b/>
          <w:bCs/>
          <w:sz w:val="20"/>
        </w:rPr>
        <w:t>Sensitive Information Handling</w:t>
      </w:r>
      <w:r w:rsidR="002033A1" w:rsidRPr="003471D8">
        <w:rPr>
          <w:rFonts w:eastAsia="MS Mincho"/>
          <w:sz w:val="20"/>
        </w:rPr>
        <w:t xml:space="preserve"> - All disclosures of </w:t>
      </w:r>
      <w:r w:rsidR="00353FE2" w:rsidRPr="003471D8">
        <w:rPr>
          <w:rFonts w:eastAsia="MS Mincho"/>
          <w:sz w:val="20"/>
        </w:rPr>
        <w:t>Confidential and Protected</w:t>
      </w:r>
      <w:r w:rsidR="002033A1" w:rsidRPr="003471D8">
        <w:rPr>
          <w:rFonts w:eastAsia="MS Mincho"/>
          <w:sz w:val="20"/>
        </w:rPr>
        <w:t xml:space="preserve"> information to </w:t>
      </w:r>
      <w:r w:rsidR="00D43190" w:rsidRPr="003471D8">
        <w:rPr>
          <w:rFonts w:eastAsia="MS Mincho"/>
          <w:sz w:val="20"/>
        </w:rPr>
        <w:t>vendors</w:t>
      </w:r>
      <w:r w:rsidR="002033A1" w:rsidRPr="003471D8">
        <w:rPr>
          <w:rFonts w:eastAsia="MS Mincho"/>
          <w:sz w:val="20"/>
        </w:rPr>
        <w:t xml:space="preserve"> must be accompanied by an explicit statement describing exactly what information</w:t>
      </w:r>
      <w:r w:rsidR="00A83213" w:rsidRPr="003471D8">
        <w:rPr>
          <w:rFonts w:eastAsia="MS Mincho"/>
          <w:sz w:val="20"/>
        </w:rPr>
        <w:t xml:space="preserve"> (type of information)</w:t>
      </w:r>
      <w:r w:rsidR="002033A1" w:rsidRPr="003471D8">
        <w:rPr>
          <w:rFonts w:eastAsia="MS Mincho"/>
          <w:sz w:val="20"/>
        </w:rPr>
        <w:t xml:space="preserve"> is restricted and how this information may and may not be used.</w:t>
      </w:r>
    </w:p>
    <w:p w:rsidR="002033A1" w:rsidRPr="003471D8" w:rsidRDefault="00FC49DA" w:rsidP="0039356F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b/>
          <w:sz w:val="20"/>
        </w:rPr>
        <w:t>Vendor</w:t>
      </w:r>
      <w:r w:rsidR="00D43190" w:rsidRPr="003471D8">
        <w:rPr>
          <w:rFonts w:eastAsia="MS Mincho"/>
          <w:b/>
          <w:sz w:val="20"/>
        </w:rPr>
        <w:t xml:space="preserve"> </w:t>
      </w:r>
      <w:r w:rsidR="002033A1" w:rsidRPr="003471D8">
        <w:rPr>
          <w:rFonts w:eastAsia="MS Mincho"/>
          <w:b/>
          <w:sz w:val="20"/>
        </w:rPr>
        <w:t>Non-Disclosure Agreements</w:t>
      </w:r>
      <w:r w:rsidR="002033A1" w:rsidRPr="003471D8">
        <w:rPr>
          <w:rFonts w:eastAsia="MS Mincho"/>
          <w:sz w:val="20"/>
        </w:rPr>
        <w:t xml:space="preserve"> - Prior to sending any </w:t>
      </w:r>
      <w:r w:rsidR="00353FE2" w:rsidRPr="003471D8">
        <w:rPr>
          <w:rFonts w:eastAsia="MS Mincho"/>
          <w:sz w:val="20"/>
        </w:rPr>
        <w:t>Firm</w:t>
      </w:r>
      <w:r w:rsidR="002033A1" w:rsidRPr="003471D8">
        <w:rPr>
          <w:rFonts w:eastAsia="MS Mincho"/>
          <w:sz w:val="20"/>
        </w:rPr>
        <w:t xml:space="preserve"> information to a </w:t>
      </w:r>
      <w:r w:rsidR="00D43190" w:rsidRPr="003471D8">
        <w:rPr>
          <w:rFonts w:eastAsia="MS Mincho"/>
          <w:sz w:val="20"/>
        </w:rPr>
        <w:t>vendor</w:t>
      </w:r>
      <w:r w:rsidR="002033A1" w:rsidRPr="003471D8">
        <w:rPr>
          <w:rFonts w:eastAsia="MS Mincho"/>
          <w:sz w:val="20"/>
        </w:rPr>
        <w:t xml:space="preserve"> for copying, printing, formatting, or other handling, the </w:t>
      </w:r>
      <w:r w:rsidR="00D43190" w:rsidRPr="003471D8">
        <w:rPr>
          <w:rFonts w:eastAsia="MS Mincho"/>
          <w:sz w:val="20"/>
        </w:rPr>
        <w:t>vendor</w:t>
      </w:r>
      <w:r w:rsidR="002033A1" w:rsidRPr="003471D8">
        <w:rPr>
          <w:rFonts w:eastAsia="MS Mincho"/>
          <w:sz w:val="20"/>
        </w:rPr>
        <w:t xml:space="preserve"> must sign a non-disclosure agreement.</w:t>
      </w:r>
    </w:p>
    <w:p w:rsidR="002033A1" w:rsidRPr="003471D8" w:rsidRDefault="00FC49DA" w:rsidP="0039356F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b/>
          <w:bCs/>
          <w:sz w:val="20"/>
        </w:rPr>
        <w:t xml:space="preserve">Vendor </w:t>
      </w:r>
      <w:r w:rsidR="002033A1" w:rsidRPr="003471D8">
        <w:rPr>
          <w:rFonts w:eastAsia="MS Mincho"/>
          <w:b/>
          <w:bCs/>
          <w:sz w:val="20"/>
        </w:rPr>
        <w:t>Security Policy</w:t>
      </w:r>
      <w:r w:rsidR="002033A1" w:rsidRPr="003471D8">
        <w:rPr>
          <w:rFonts w:eastAsia="MS Mincho"/>
          <w:sz w:val="20"/>
        </w:rPr>
        <w:t xml:space="preserve"> - Before any </w:t>
      </w:r>
      <w:r w:rsidR="00353FE2" w:rsidRPr="003471D8">
        <w:rPr>
          <w:rFonts w:eastAsia="MS Mincho"/>
          <w:sz w:val="20"/>
        </w:rPr>
        <w:t>Firm</w:t>
      </w:r>
      <w:r w:rsidR="002033A1" w:rsidRPr="003471D8">
        <w:rPr>
          <w:rFonts w:eastAsia="MS Mincho"/>
          <w:sz w:val="20"/>
        </w:rPr>
        <w:t xml:space="preserve"> information is disclosed to a </w:t>
      </w:r>
      <w:r w:rsidR="00D43190" w:rsidRPr="003471D8">
        <w:rPr>
          <w:rFonts w:eastAsia="MS Mincho"/>
          <w:sz w:val="20"/>
        </w:rPr>
        <w:t>vendor</w:t>
      </w:r>
      <w:r w:rsidR="00353FE2" w:rsidRPr="003471D8">
        <w:rPr>
          <w:rFonts w:eastAsia="MS Mincho"/>
          <w:sz w:val="20"/>
        </w:rPr>
        <w:t xml:space="preserve">, </w:t>
      </w:r>
      <w:r w:rsidR="00D43190" w:rsidRPr="003471D8">
        <w:rPr>
          <w:rFonts w:eastAsia="MS Mincho"/>
          <w:sz w:val="20"/>
        </w:rPr>
        <w:t>the</w:t>
      </w:r>
      <w:r w:rsidR="00353FE2" w:rsidRPr="003471D8">
        <w:rPr>
          <w:rFonts w:eastAsia="MS Mincho"/>
          <w:sz w:val="20"/>
        </w:rPr>
        <w:t xml:space="preserve"> </w:t>
      </w:r>
      <w:r w:rsidR="00D43190" w:rsidRPr="003471D8">
        <w:rPr>
          <w:rFonts w:eastAsia="MS Mincho"/>
          <w:sz w:val="20"/>
        </w:rPr>
        <w:t>vendor</w:t>
      </w:r>
      <w:r w:rsidR="00353FE2" w:rsidRPr="003471D8">
        <w:rPr>
          <w:rFonts w:eastAsia="MS Mincho"/>
          <w:sz w:val="20"/>
        </w:rPr>
        <w:t xml:space="preserve"> must</w:t>
      </w:r>
      <w:r w:rsidR="002033A1" w:rsidRPr="003471D8">
        <w:rPr>
          <w:rFonts w:eastAsia="MS Mincho"/>
          <w:sz w:val="20"/>
        </w:rPr>
        <w:t xml:space="preserve"> submit a copy of its information security policy for approval by </w:t>
      </w:r>
      <w:r w:rsidR="00353FE2" w:rsidRPr="003471D8">
        <w:rPr>
          <w:rFonts w:eastAsia="MS Mincho"/>
          <w:sz w:val="20"/>
        </w:rPr>
        <w:t>the Firm’s Security Team.</w:t>
      </w:r>
    </w:p>
    <w:p w:rsidR="002033A1" w:rsidRPr="003471D8" w:rsidRDefault="002033A1" w:rsidP="0039356F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b/>
          <w:bCs/>
          <w:sz w:val="20"/>
        </w:rPr>
        <w:t>Information Handling At Contract Termination</w:t>
      </w:r>
      <w:r w:rsidRPr="003471D8">
        <w:rPr>
          <w:rFonts w:eastAsia="MS Mincho"/>
          <w:sz w:val="20"/>
        </w:rPr>
        <w:t xml:space="preserve"> </w:t>
      </w:r>
      <w:r w:rsidR="000112A8" w:rsidRPr="003471D8">
        <w:rPr>
          <w:rFonts w:eastAsia="MS Mincho"/>
          <w:sz w:val="20"/>
        </w:rPr>
        <w:t>–</w:t>
      </w:r>
      <w:r w:rsidRPr="003471D8">
        <w:rPr>
          <w:rFonts w:eastAsia="MS Mincho"/>
          <w:sz w:val="20"/>
        </w:rPr>
        <w:t xml:space="preserve"> </w:t>
      </w:r>
      <w:r w:rsidR="000112A8" w:rsidRPr="003471D8">
        <w:rPr>
          <w:rFonts w:eastAsia="MS Mincho"/>
          <w:sz w:val="20"/>
        </w:rPr>
        <w:t>Upon the Firm’s termination of</w:t>
      </w:r>
      <w:r w:rsidRPr="003471D8">
        <w:rPr>
          <w:rFonts w:eastAsia="MS Mincho"/>
          <w:sz w:val="20"/>
        </w:rPr>
        <w:t xml:space="preserve"> its contract with any </w:t>
      </w:r>
      <w:r w:rsidR="00FC49DA" w:rsidRPr="003471D8">
        <w:rPr>
          <w:rFonts w:eastAsia="MS Mincho"/>
          <w:sz w:val="20"/>
        </w:rPr>
        <w:t xml:space="preserve">Vendor </w:t>
      </w:r>
      <w:r w:rsidRPr="003471D8">
        <w:rPr>
          <w:rFonts w:eastAsia="MS Mincho"/>
          <w:sz w:val="20"/>
        </w:rPr>
        <w:t xml:space="preserve">organization that is handling </w:t>
      </w:r>
      <w:r w:rsidR="000112A8" w:rsidRPr="003471D8">
        <w:rPr>
          <w:rFonts w:eastAsia="MS Mincho"/>
          <w:sz w:val="20"/>
        </w:rPr>
        <w:t>Firm</w:t>
      </w:r>
      <w:r w:rsidRPr="003471D8">
        <w:rPr>
          <w:rFonts w:eastAsia="MS Mincho"/>
          <w:sz w:val="20"/>
        </w:rPr>
        <w:t xml:space="preserve"> information, this same </w:t>
      </w:r>
      <w:r w:rsidR="00FC49DA" w:rsidRPr="003471D8">
        <w:rPr>
          <w:rFonts w:eastAsia="MS Mincho"/>
          <w:sz w:val="20"/>
        </w:rPr>
        <w:t xml:space="preserve">Vendor </w:t>
      </w:r>
      <w:r w:rsidRPr="003471D8">
        <w:rPr>
          <w:rFonts w:eastAsia="MS Mincho"/>
          <w:sz w:val="20"/>
        </w:rPr>
        <w:t xml:space="preserve">organization must immediately thereafter destroy or return all of the </w:t>
      </w:r>
      <w:r w:rsidR="000112A8" w:rsidRPr="003471D8">
        <w:rPr>
          <w:rFonts w:eastAsia="MS Mincho"/>
          <w:sz w:val="20"/>
        </w:rPr>
        <w:t>Firm’s information</w:t>
      </w:r>
      <w:r w:rsidR="00544E24" w:rsidRPr="003471D8">
        <w:rPr>
          <w:rFonts w:eastAsia="MS Mincho"/>
          <w:sz w:val="20"/>
        </w:rPr>
        <w:t xml:space="preserve"> in its possession.</w:t>
      </w:r>
    </w:p>
    <w:p w:rsidR="002033A1" w:rsidRPr="003471D8" w:rsidRDefault="00D43190" w:rsidP="0039356F">
      <w:pPr>
        <w:pStyle w:val="ListParagraph"/>
        <w:numPr>
          <w:ilvl w:val="0"/>
          <w:numId w:val="40"/>
        </w:numPr>
        <w:autoSpaceDN w:val="0"/>
        <w:spacing w:before="120" w:after="120"/>
        <w:rPr>
          <w:rFonts w:eastAsia="MS Mincho"/>
          <w:sz w:val="20"/>
        </w:rPr>
      </w:pPr>
      <w:r w:rsidRPr="003471D8">
        <w:rPr>
          <w:rFonts w:eastAsia="MS Mincho"/>
          <w:b/>
          <w:bCs/>
          <w:sz w:val="20"/>
        </w:rPr>
        <w:t>Vendor</w:t>
      </w:r>
      <w:r w:rsidR="002033A1" w:rsidRPr="003471D8">
        <w:rPr>
          <w:rFonts w:eastAsia="MS Mincho"/>
          <w:b/>
          <w:bCs/>
          <w:sz w:val="20"/>
        </w:rPr>
        <w:t xml:space="preserve"> Information Disposal </w:t>
      </w:r>
      <w:r w:rsidR="002033A1" w:rsidRPr="003471D8">
        <w:rPr>
          <w:rFonts w:eastAsia="MS Mincho"/>
          <w:sz w:val="20"/>
        </w:rPr>
        <w:t xml:space="preserve">- If the </w:t>
      </w:r>
      <w:r w:rsidR="00FC49DA" w:rsidRPr="003471D8">
        <w:rPr>
          <w:rFonts w:eastAsia="MS Mincho"/>
          <w:sz w:val="20"/>
        </w:rPr>
        <w:t xml:space="preserve">Vendor </w:t>
      </w:r>
      <w:r w:rsidR="002033A1" w:rsidRPr="003471D8">
        <w:rPr>
          <w:rFonts w:eastAsia="MS Mincho"/>
          <w:sz w:val="20"/>
        </w:rPr>
        <w:t xml:space="preserve">destroys the information, </w:t>
      </w:r>
      <w:r w:rsidR="000112A8" w:rsidRPr="003471D8">
        <w:rPr>
          <w:rFonts w:eastAsia="MS Mincho"/>
          <w:sz w:val="20"/>
        </w:rPr>
        <w:t>the Firm</w:t>
      </w:r>
      <w:r w:rsidR="002033A1" w:rsidRPr="003471D8">
        <w:rPr>
          <w:rFonts w:eastAsia="MS Mincho"/>
          <w:sz w:val="20"/>
        </w:rPr>
        <w:t xml:space="preserve"> must receive notice that the data was disposed </w:t>
      </w:r>
      <w:r w:rsidR="002D7902" w:rsidRPr="003471D8">
        <w:rPr>
          <w:rFonts w:eastAsia="MS Mincho"/>
          <w:sz w:val="20"/>
        </w:rPr>
        <w:t>of properly</w:t>
      </w:r>
      <w:r w:rsidR="00BA7EF2" w:rsidRPr="003471D8">
        <w:rPr>
          <w:rFonts w:eastAsia="MS Mincho"/>
          <w:sz w:val="20"/>
        </w:rPr>
        <w:t>, and be provided certified proof</w:t>
      </w:r>
      <w:r w:rsidR="002033A1" w:rsidRPr="003471D8">
        <w:rPr>
          <w:rFonts w:eastAsia="MS Mincho"/>
          <w:sz w:val="20"/>
        </w:rPr>
        <w:t>.</w:t>
      </w:r>
    </w:p>
    <w:p w:rsidR="004B1397" w:rsidRPr="003471D8" w:rsidRDefault="004B1397" w:rsidP="00B92D76">
      <w:pPr>
        <w:pStyle w:val="Heading1"/>
        <w:rPr>
          <w:color w:val="auto"/>
        </w:rPr>
      </w:pPr>
      <w:bookmarkStart w:id="15" w:name="_Toc475534804"/>
      <w:r w:rsidRPr="003471D8">
        <w:rPr>
          <w:color w:val="auto"/>
        </w:rPr>
        <w:t>9.0 Related Policies</w:t>
      </w:r>
      <w:bookmarkEnd w:id="15"/>
    </w:p>
    <w:p w:rsidR="004B1397" w:rsidRPr="003471D8" w:rsidRDefault="004B1397" w:rsidP="004B1397">
      <w:pPr>
        <w:pStyle w:val="ListParagraph"/>
        <w:numPr>
          <w:ilvl w:val="0"/>
          <w:numId w:val="41"/>
        </w:numPr>
        <w:rPr>
          <w:rFonts w:eastAsia="MS Mincho"/>
          <w:sz w:val="20"/>
        </w:rPr>
      </w:pPr>
      <w:r w:rsidRPr="003471D8">
        <w:rPr>
          <w:rFonts w:eastAsia="MS Mincho"/>
          <w:sz w:val="20"/>
        </w:rPr>
        <w:t>Account Management</w:t>
      </w:r>
    </w:p>
    <w:p w:rsidR="004B1397" w:rsidRPr="003471D8" w:rsidRDefault="004B1397" w:rsidP="004B1397">
      <w:pPr>
        <w:pStyle w:val="ListParagraph"/>
        <w:numPr>
          <w:ilvl w:val="0"/>
          <w:numId w:val="41"/>
        </w:numPr>
        <w:rPr>
          <w:rFonts w:eastAsia="MS Mincho"/>
          <w:sz w:val="20"/>
        </w:rPr>
      </w:pPr>
      <w:r w:rsidRPr="003471D8">
        <w:rPr>
          <w:rFonts w:eastAsia="MS Mincho"/>
          <w:sz w:val="20"/>
        </w:rPr>
        <w:t>Information Classification</w:t>
      </w:r>
    </w:p>
    <w:p w:rsidR="001E0761" w:rsidRPr="003471D8" w:rsidRDefault="001E0761" w:rsidP="00B92D76">
      <w:pPr>
        <w:pStyle w:val="Heading1"/>
        <w:rPr>
          <w:color w:val="auto"/>
        </w:rPr>
      </w:pPr>
      <w:bookmarkStart w:id="16" w:name="_Toc475534805"/>
      <w:r w:rsidRPr="003471D8">
        <w:rPr>
          <w:color w:val="auto"/>
        </w:rPr>
        <w:t>10.0 Related Form</w:t>
      </w:r>
      <w:bookmarkEnd w:id="16"/>
    </w:p>
    <w:p w:rsidR="001E0761" w:rsidRPr="003471D8" w:rsidRDefault="001E0761" w:rsidP="001E0761">
      <w:pPr>
        <w:pStyle w:val="ListParagraph"/>
        <w:numPr>
          <w:ilvl w:val="0"/>
          <w:numId w:val="41"/>
        </w:numPr>
        <w:rPr>
          <w:rFonts w:eastAsia="MS Mincho"/>
          <w:sz w:val="20"/>
        </w:rPr>
      </w:pPr>
      <w:r w:rsidRPr="003471D8">
        <w:rPr>
          <w:rFonts w:eastAsia="MS Mincho"/>
          <w:sz w:val="20"/>
        </w:rPr>
        <w:t>Vendor Management Due Diligence Checklist</w:t>
      </w:r>
    </w:p>
    <w:p w:rsidR="00B92D76" w:rsidRPr="003471D8" w:rsidRDefault="004B1397" w:rsidP="00B92D76">
      <w:pPr>
        <w:pStyle w:val="Heading1"/>
        <w:rPr>
          <w:color w:val="auto"/>
        </w:rPr>
      </w:pPr>
      <w:bookmarkStart w:id="17" w:name="_Toc475534806"/>
      <w:r w:rsidRPr="003471D8">
        <w:rPr>
          <w:color w:val="auto"/>
        </w:rPr>
        <w:t>1</w:t>
      </w:r>
      <w:r w:rsidR="001E0761" w:rsidRPr="003471D8">
        <w:rPr>
          <w:color w:val="auto"/>
        </w:rPr>
        <w:t>1</w:t>
      </w:r>
      <w:r w:rsidR="00B92D76" w:rsidRPr="003471D8">
        <w:rPr>
          <w:color w:val="auto"/>
        </w:rPr>
        <w:t>.0 Policy Maintenance</w:t>
      </w:r>
      <w:bookmarkEnd w:id="17"/>
    </w:p>
    <w:p w:rsidR="00B92D76" w:rsidRPr="003471D8" w:rsidRDefault="00B92D76" w:rsidP="00B92D76">
      <w:pPr>
        <w:rPr>
          <w:rFonts w:eastAsia="MS Mincho"/>
          <w:sz w:val="20"/>
        </w:rPr>
      </w:pPr>
      <w:r w:rsidRPr="003471D8">
        <w:rPr>
          <w:rFonts w:eastAsia="MS Mincho"/>
          <w:sz w:val="20"/>
        </w:rPr>
        <w:t>The responsibility of ensuring this policy is kept current as needed for purposes of compliance with the Firm’s security requirements is assigned to the Security Team.</w:t>
      </w:r>
    </w:p>
    <w:p w:rsidR="00DA6BEA" w:rsidRPr="003471D8" w:rsidRDefault="001705C6" w:rsidP="009E789C">
      <w:pPr>
        <w:pStyle w:val="Heading1"/>
        <w:rPr>
          <w:color w:val="auto"/>
        </w:rPr>
      </w:pPr>
      <w:bookmarkStart w:id="18" w:name="_Toc475534807"/>
      <w:r w:rsidRPr="003471D8">
        <w:rPr>
          <w:color w:val="auto"/>
        </w:rPr>
        <w:t>Revision History</w:t>
      </w:r>
      <w:bookmarkEnd w:id="18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883"/>
        <w:gridCol w:w="1529"/>
        <w:gridCol w:w="1529"/>
        <w:gridCol w:w="2250"/>
      </w:tblGrid>
      <w:tr w:rsidR="003471D8" w:rsidRPr="003471D8" w:rsidTr="001705C6">
        <w:trPr>
          <w:trHeight w:val="566"/>
          <w:jc w:val="center"/>
        </w:trPr>
        <w:tc>
          <w:tcPr>
            <w:tcW w:w="624" w:type="pct"/>
            <w:shd w:val="pct10" w:color="auto" w:fill="auto"/>
            <w:vAlign w:val="center"/>
          </w:tcPr>
          <w:p w:rsidR="001705C6" w:rsidRPr="003471D8" w:rsidRDefault="001705C6" w:rsidP="008C58FC">
            <w:pPr>
              <w:pStyle w:val="FooterTableHeader"/>
              <w:rPr>
                <w:color w:val="auto"/>
              </w:rPr>
            </w:pPr>
            <w:r w:rsidRPr="003471D8">
              <w:rPr>
                <w:color w:val="auto"/>
              </w:rPr>
              <w:t>Version</w:t>
            </w:r>
          </w:p>
        </w:tc>
        <w:tc>
          <w:tcPr>
            <w:tcW w:w="1540" w:type="pct"/>
            <w:shd w:val="pct10" w:color="auto" w:fill="auto"/>
            <w:vAlign w:val="center"/>
          </w:tcPr>
          <w:p w:rsidR="001705C6" w:rsidRPr="003471D8" w:rsidRDefault="001705C6" w:rsidP="008C58FC">
            <w:pPr>
              <w:pStyle w:val="FooterTableHeader"/>
              <w:rPr>
                <w:color w:val="auto"/>
              </w:rPr>
            </w:pPr>
            <w:r w:rsidRPr="003471D8">
              <w:rPr>
                <w:color w:val="auto"/>
              </w:rPr>
              <w:t>Description</w:t>
            </w:r>
          </w:p>
        </w:tc>
        <w:tc>
          <w:tcPr>
            <w:tcW w:w="817" w:type="pct"/>
            <w:shd w:val="pct10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705C6" w:rsidRPr="003471D8" w:rsidRDefault="001705C6" w:rsidP="008C58FC">
            <w:pPr>
              <w:pStyle w:val="FooterTableHeader"/>
              <w:rPr>
                <w:color w:val="auto"/>
              </w:rPr>
            </w:pPr>
            <w:r w:rsidRPr="003471D8">
              <w:rPr>
                <w:color w:val="auto"/>
              </w:rPr>
              <w:t>Revision Date</w:t>
            </w:r>
          </w:p>
        </w:tc>
        <w:tc>
          <w:tcPr>
            <w:tcW w:w="817" w:type="pct"/>
            <w:shd w:val="pct10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705C6" w:rsidRPr="003471D8" w:rsidRDefault="001705C6" w:rsidP="008C58FC">
            <w:pPr>
              <w:pStyle w:val="FooterTableHeader"/>
              <w:rPr>
                <w:color w:val="auto"/>
              </w:rPr>
            </w:pPr>
            <w:r w:rsidRPr="003471D8">
              <w:rPr>
                <w:color w:val="auto"/>
              </w:rPr>
              <w:t xml:space="preserve">Review </w:t>
            </w:r>
            <w:r w:rsidRPr="003471D8">
              <w:rPr>
                <w:color w:val="auto"/>
              </w:rPr>
              <w:br/>
              <w:t>Date</w:t>
            </w:r>
          </w:p>
        </w:tc>
        <w:tc>
          <w:tcPr>
            <w:tcW w:w="1202" w:type="pct"/>
            <w:shd w:val="pct10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705C6" w:rsidRPr="003471D8" w:rsidRDefault="001705C6" w:rsidP="008C58FC">
            <w:pPr>
              <w:pStyle w:val="FooterTableHeader"/>
              <w:rPr>
                <w:color w:val="auto"/>
              </w:rPr>
            </w:pPr>
            <w:r w:rsidRPr="003471D8">
              <w:rPr>
                <w:color w:val="auto"/>
              </w:rPr>
              <w:t>Reviewer/Approver</w:t>
            </w:r>
            <w:r w:rsidRPr="003471D8">
              <w:rPr>
                <w:color w:val="auto"/>
              </w:rPr>
              <w:br/>
              <w:t>Name</w:t>
            </w:r>
          </w:p>
        </w:tc>
      </w:tr>
      <w:tr w:rsidR="003471D8" w:rsidRPr="003471D8" w:rsidTr="001705C6">
        <w:trPr>
          <w:trHeight w:val="288"/>
          <w:jc w:val="center"/>
        </w:trPr>
        <w:tc>
          <w:tcPr>
            <w:tcW w:w="624" w:type="pct"/>
            <w:vAlign w:val="center"/>
          </w:tcPr>
          <w:p w:rsidR="001705C6" w:rsidRPr="003471D8" w:rsidRDefault="001705C6" w:rsidP="008C58FC">
            <w:pPr>
              <w:pStyle w:val="PolicyHeaderFill"/>
            </w:pPr>
            <w:r w:rsidRPr="003471D8">
              <w:t>1.0</w:t>
            </w:r>
          </w:p>
        </w:tc>
        <w:tc>
          <w:tcPr>
            <w:tcW w:w="1540" w:type="pct"/>
            <w:vAlign w:val="center"/>
          </w:tcPr>
          <w:p w:rsidR="001705C6" w:rsidRPr="003471D8" w:rsidRDefault="001705C6" w:rsidP="008C58FC">
            <w:pPr>
              <w:pStyle w:val="PolicyHeaderFill"/>
            </w:pPr>
            <w:r w:rsidRPr="003471D8">
              <w:t>Initial Version</w:t>
            </w:r>
          </w:p>
        </w:tc>
        <w:tc>
          <w:tcPr>
            <w:tcW w:w="817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705C6" w:rsidRPr="003471D8" w:rsidRDefault="001705C6" w:rsidP="008C58FC">
            <w:pPr>
              <w:pStyle w:val="PolicyHeaderFill"/>
            </w:pPr>
          </w:p>
        </w:tc>
        <w:tc>
          <w:tcPr>
            <w:tcW w:w="817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1705C6" w:rsidRPr="003471D8" w:rsidRDefault="001705C6" w:rsidP="008C58FC">
            <w:pPr>
              <w:pStyle w:val="PolicyHeaderFill"/>
            </w:pPr>
          </w:p>
        </w:tc>
        <w:tc>
          <w:tcPr>
            <w:tcW w:w="120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31170" w:rsidRPr="003471D8" w:rsidRDefault="00331170" w:rsidP="008C58FC">
            <w:pPr>
              <w:pStyle w:val="PolicyHeaderFill"/>
            </w:pPr>
          </w:p>
        </w:tc>
      </w:tr>
      <w:tr w:rsidR="003471D8" w:rsidRPr="003471D8" w:rsidTr="001705C6">
        <w:trPr>
          <w:trHeight w:val="288"/>
          <w:jc w:val="center"/>
        </w:trPr>
        <w:tc>
          <w:tcPr>
            <w:tcW w:w="624" w:type="pct"/>
            <w:vAlign w:val="center"/>
          </w:tcPr>
          <w:p w:rsidR="00026706" w:rsidRPr="003471D8" w:rsidRDefault="00026706" w:rsidP="008C58FC">
            <w:pPr>
              <w:pStyle w:val="PolicyHeaderFill"/>
            </w:pPr>
          </w:p>
        </w:tc>
        <w:tc>
          <w:tcPr>
            <w:tcW w:w="1540" w:type="pct"/>
            <w:vAlign w:val="center"/>
          </w:tcPr>
          <w:p w:rsidR="00026706" w:rsidRPr="003471D8" w:rsidRDefault="00026706" w:rsidP="008C58FC">
            <w:pPr>
              <w:pStyle w:val="PolicyHeaderFill"/>
            </w:pPr>
          </w:p>
        </w:tc>
        <w:tc>
          <w:tcPr>
            <w:tcW w:w="817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26706" w:rsidRPr="003471D8" w:rsidRDefault="00026706" w:rsidP="008C58FC">
            <w:pPr>
              <w:pStyle w:val="PolicyHeaderFill"/>
            </w:pPr>
          </w:p>
        </w:tc>
        <w:tc>
          <w:tcPr>
            <w:tcW w:w="817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26706" w:rsidRPr="003471D8" w:rsidRDefault="00026706" w:rsidP="008C58FC">
            <w:pPr>
              <w:pStyle w:val="PolicyHeaderFill"/>
            </w:pPr>
          </w:p>
        </w:tc>
        <w:tc>
          <w:tcPr>
            <w:tcW w:w="1202" w:type="pct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26706" w:rsidRPr="003471D8" w:rsidRDefault="00026706" w:rsidP="008C58FC">
            <w:pPr>
              <w:pStyle w:val="PolicyHeaderFill"/>
            </w:pPr>
          </w:p>
        </w:tc>
      </w:tr>
    </w:tbl>
    <w:p w:rsidR="00CC7A46" w:rsidRPr="00CC7A46" w:rsidRDefault="00CC7A46" w:rsidP="00BC61F2">
      <w:pPr>
        <w:pStyle w:val="PlainText"/>
        <w:rPr>
          <w:rFonts w:ascii="Times New Roman" w:eastAsia="MS Mincho" w:hAnsi="Times New Roman" w:cs="Times New Roman"/>
          <w:bCs/>
          <w:sz w:val="20"/>
        </w:rPr>
      </w:pPr>
    </w:p>
    <w:sectPr w:rsidR="00CC7A46" w:rsidRPr="00CC7A46" w:rsidSect="00E844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080" w:left="1080" w:header="720" w:footer="72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</wne:keymaps>
  <wne:toolbars>
    <wne:acdManifest>
      <wne:acdEntry wne:acdName="acd0"/>
    </wne:acdManifest>
  </wne:toolbars>
  <wne:acds>
    <wne:acd wne:argValue="AgBOAHUAbQBiAGUAcgBlAGQATABpAHMAdAA=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6C" w:rsidRDefault="0052176C" w:rsidP="00355882">
      <w:r>
        <w:separator/>
      </w:r>
    </w:p>
  </w:endnote>
  <w:endnote w:type="continuationSeparator" w:id="0">
    <w:p w:rsidR="0052176C" w:rsidRDefault="0052176C" w:rsidP="0035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DB" w:rsidRDefault="005056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C" w:rsidRPr="00DD7E92" w:rsidRDefault="0052176C" w:rsidP="00E950B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D7E92">
      <w:rPr>
        <w:rFonts w:ascii="Arial" w:hAnsi="Arial" w:cs="Arial"/>
        <w:sz w:val="20"/>
        <w:szCs w:val="20"/>
      </w:rPr>
      <w:tab/>
    </w:r>
    <w:r w:rsidRPr="00DD7E92">
      <w:rPr>
        <w:rFonts w:ascii="Arial" w:hAnsi="Arial" w:cs="Arial"/>
        <w:sz w:val="20"/>
        <w:szCs w:val="20"/>
      </w:rPr>
      <w:tab/>
      <w:t xml:space="preserve">Page </w:t>
    </w:r>
    <w:r w:rsidRPr="00DD7E92">
      <w:rPr>
        <w:rFonts w:ascii="Arial" w:hAnsi="Arial" w:cs="Arial"/>
        <w:sz w:val="20"/>
        <w:szCs w:val="20"/>
      </w:rPr>
      <w:fldChar w:fldCharType="begin"/>
    </w:r>
    <w:r w:rsidRPr="00DD7E92">
      <w:rPr>
        <w:rFonts w:ascii="Arial" w:hAnsi="Arial" w:cs="Arial"/>
        <w:sz w:val="20"/>
        <w:szCs w:val="20"/>
      </w:rPr>
      <w:instrText xml:space="preserve"> PAGE   \* MERGEFORMAT </w:instrText>
    </w:r>
    <w:r w:rsidRPr="00DD7E92">
      <w:rPr>
        <w:rFonts w:ascii="Arial" w:hAnsi="Arial" w:cs="Arial"/>
        <w:sz w:val="20"/>
        <w:szCs w:val="20"/>
      </w:rPr>
      <w:fldChar w:fldCharType="separate"/>
    </w:r>
    <w:r w:rsidR="00261104">
      <w:rPr>
        <w:rFonts w:ascii="Arial" w:hAnsi="Arial" w:cs="Arial"/>
        <w:noProof/>
        <w:sz w:val="20"/>
        <w:szCs w:val="20"/>
      </w:rPr>
      <w:t>3</w:t>
    </w:r>
    <w:r w:rsidRPr="00DD7E92">
      <w:rPr>
        <w:rFonts w:ascii="Arial" w:hAnsi="Arial" w:cs="Arial"/>
        <w:noProof/>
        <w:sz w:val="20"/>
        <w:szCs w:val="20"/>
      </w:rPr>
      <w:fldChar w:fldCharType="end"/>
    </w:r>
  </w:p>
  <w:p w:rsidR="0052176C" w:rsidRDefault="005217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C" w:rsidRPr="00DD7E92" w:rsidRDefault="0052176C" w:rsidP="00DD7E92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D7E92">
      <w:rPr>
        <w:rFonts w:ascii="Arial" w:hAnsi="Arial" w:cs="Arial"/>
        <w:sz w:val="20"/>
        <w:szCs w:val="20"/>
      </w:rPr>
      <w:tab/>
    </w:r>
    <w:r w:rsidRPr="00DD7E92">
      <w:rPr>
        <w:rFonts w:ascii="Arial" w:hAnsi="Arial" w:cs="Arial"/>
        <w:sz w:val="20"/>
        <w:szCs w:val="20"/>
      </w:rPr>
      <w:tab/>
      <w:t xml:space="preserve">Page </w:t>
    </w:r>
    <w:r w:rsidRPr="00DD7E92">
      <w:rPr>
        <w:rFonts w:ascii="Arial" w:hAnsi="Arial" w:cs="Arial"/>
        <w:sz w:val="20"/>
        <w:szCs w:val="20"/>
      </w:rPr>
      <w:fldChar w:fldCharType="begin"/>
    </w:r>
    <w:r w:rsidRPr="00DD7E92">
      <w:rPr>
        <w:rFonts w:ascii="Arial" w:hAnsi="Arial" w:cs="Arial"/>
        <w:sz w:val="20"/>
        <w:szCs w:val="20"/>
      </w:rPr>
      <w:instrText xml:space="preserve"> PAGE   \* MERGEFORMAT </w:instrText>
    </w:r>
    <w:r w:rsidRPr="00DD7E92">
      <w:rPr>
        <w:rFonts w:ascii="Arial" w:hAnsi="Arial" w:cs="Arial"/>
        <w:sz w:val="20"/>
        <w:szCs w:val="20"/>
      </w:rPr>
      <w:fldChar w:fldCharType="separate"/>
    </w:r>
    <w:r w:rsidR="00261104">
      <w:rPr>
        <w:rFonts w:ascii="Arial" w:hAnsi="Arial" w:cs="Arial"/>
        <w:noProof/>
        <w:sz w:val="20"/>
        <w:szCs w:val="20"/>
      </w:rPr>
      <w:t>1</w:t>
    </w:r>
    <w:r w:rsidRPr="00DD7E92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6C" w:rsidRDefault="0052176C" w:rsidP="00355882">
      <w:r>
        <w:separator/>
      </w:r>
    </w:p>
  </w:footnote>
  <w:footnote w:type="continuationSeparator" w:id="0">
    <w:p w:rsidR="0052176C" w:rsidRDefault="0052176C" w:rsidP="00355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DB" w:rsidRDefault="005056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C" w:rsidRDefault="0052176C">
    <w:pPr>
      <w:pStyle w:val="Header"/>
    </w:pPr>
    <w:bookmarkStart w:id="19" w:name="_MacBuGuideStaticData_1440H"/>
    <w:bookmarkStart w:id="20" w:name="_MacBuGuideStaticData_14740H"/>
  </w:p>
  <w:bookmarkEnd w:id="19"/>
  <w:bookmarkEnd w:id="2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6C" w:rsidRDefault="0052176C" w:rsidP="004D5ED1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9D9"/>
    <w:multiLevelType w:val="hybridMultilevel"/>
    <w:tmpl w:val="E696C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4672"/>
    <w:multiLevelType w:val="hybridMultilevel"/>
    <w:tmpl w:val="856E3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0496B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87AF7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45E6E"/>
    <w:multiLevelType w:val="hybridMultilevel"/>
    <w:tmpl w:val="ED624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A7511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F0EAD"/>
    <w:multiLevelType w:val="hybridMultilevel"/>
    <w:tmpl w:val="0F101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8051F"/>
    <w:multiLevelType w:val="hybridMultilevel"/>
    <w:tmpl w:val="71F6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C0196"/>
    <w:multiLevelType w:val="hybridMultilevel"/>
    <w:tmpl w:val="4D00843A"/>
    <w:name w:val="NumberedList"/>
    <w:lvl w:ilvl="0" w:tplc="1DB06F5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5B5A17"/>
    <w:multiLevelType w:val="multilevel"/>
    <w:tmpl w:val="7C2E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2847726E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D3AC4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AD6617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B267F"/>
    <w:multiLevelType w:val="hybridMultilevel"/>
    <w:tmpl w:val="3504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1105A"/>
    <w:multiLevelType w:val="hybridMultilevel"/>
    <w:tmpl w:val="DC6A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93BD2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55000"/>
    <w:multiLevelType w:val="hybridMultilevel"/>
    <w:tmpl w:val="BD28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679B3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4F14FD"/>
    <w:multiLevelType w:val="multilevel"/>
    <w:tmpl w:val="DC6A6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D4E6E"/>
    <w:multiLevelType w:val="hybridMultilevel"/>
    <w:tmpl w:val="52D8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3A3A9E"/>
    <w:multiLevelType w:val="hybridMultilevel"/>
    <w:tmpl w:val="0F101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341C33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12F0A"/>
    <w:multiLevelType w:val="hybridMultilevel"/>
    <w:tmpl w:val="931E9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EA6EEE"/>
    <w:multiLevelType w:val="hybridMultilevel"/>
    <w:tmpl w:val="EF62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04F9A"/>
    <w:multiLevelType w:val="hybridMultilevel"/>
    <w:tmpl w:val="331E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65106"/>
    <w:multiLevelType w:val="hybridMultilevel"/>
    <w:tmpl w:val="1BEE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00B53"/>
    <w:multiLevelType w:val="hybridMultilevel"/>
    <w:tmpl w:val="12A00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4C0A70"/>
    <w:multiLevelType w:val="hybridMultilevel"/>
    <w:tmpl w:val="31968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E02F3"/>
    <w:multiLevelType w:val="hybridMultilevel"/>
    <w:tmpl w:val="0F101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800478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275D61"/>
    <w:multiLevelType w:val="hybridMultilevel"/>
    <w:tmpl w:val="0BC0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E1B49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F062DC"/>
    <w:multiLevelType w:val="hybridMultilevel"/>
    <w:tmpl w:val="0F384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46D30"/>
    <w:multiLevelType w:val="hybridMultilevel"/>
    <w:tmpl w:val="4E22C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1"/>
  </w:num>
  <w:num w:numId="4">
    <w:abstractNumId w:val="16"/>
  </w:num>
  <w:num w:numId="5">
    <w:abstractNumId w:val="26"/>
  </w:num>
  <w:num w:numId="6">
    <w:abstractNumId w:val="14"/>
  </w:num>
  <w:num w:numId="7">
    <w:abstractNumId w:val="18"/>
  </w:num>
  <w:num w:numId="8">
    <w:abstractNumId w:val="7"/>
  </w:num>
  <w:num w:numId="9">
    <w:abstractNumId w:val="4"/>
  </w:num>
  <w:num w:numId="10">
    <w:abstractNumId w:val="30"/>
  </w:num>
  <w:num w:numId="11">
    <w:abstractNumId w:val="25"/>
  </w:num>
  <w:num w:numId="12">
    <w:abstractNumId w:val="2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</w:num>
  <w:num w:numId="21">
    <w:abstractNumId w:val="28"/>
  </w:num>
  <w:num w:numId="22">
    <w:abstractNumId w:val="29"/>
  </w:num>
  <w:num w:numId="23">
    <w:abstractNumId w:val="11"/>
  </w:num>
  <w:num w:numId="24">
    <w:abstractNumId w:val="12"/>
  </w:num>
  <w:num w:numId="25">
    <w:abstractNumId w:val="3"/>
  </w:num>
  <w:num w:numId="26">
    <w:abstractNumId w:val="32"/>
  </w:num>
  <w:num w:numId="27">
    <w:abstractNumId w:val="17"/>
  </w:num>
  <w:num w:numId="28">
    <w:abstractNumId w:val="10"/>
  </w:num>
  <w:num w:numId="29">
    <w:abstractNumId w:val="5"/>
  </w:num>
  <w:num w:numId="30">
    <w:abstractNumId w:val="15"/>
  </w:num>
  <w:num w:numId="31">
    <w:abstractNumId w:val="31"/>
  </w:num>
  <w:num w:numId="32">
    <w:abstractNumId w:val="2"/>
  </w:num>
  <w:num w:numId="33">
    <w:abstractNumId w:val="8"/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22"/>
  </w:num>
  <w:num w:numId="40">
    <w:abstractNumId w:val="2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000000-1026\20631731.1"/>
    <w:docVar w:name="MPDocIDTemplate" w:val="%c|-%m|\%n|.%v"/>
    <w:docVar w:name="MPDocIDTemplateDefault" w:val="%c|-%m|\%n|.%v"/>
    <w:docVar w:name="NewDocStampType" w:val="7"/>
  </w:docVars>
  <w:rsids>
    <w:rsidRoot w:val="00DA6BEA"/>
    <w:rsid w:val="000112A8"/>
    <w:rsid w:val="00022638"/>
    <w:rsid w:val="00026706"/>
    <w:rsid w:val="00027D6D"/>
    <w:rsid w:val="00046B11"/>
    <w:rsid w:val="00091096"/>
    <w:rsid w:val="00095B18"/>
    <w:rsid w:val="000A01C8"/>
    <w:rsid w:val="000B3C6A"/>
    <w:rsid w:val="000B6022"/>
    <w:rsid w:val="000B6ADF"/>
    <w:rsid w:val="000D4A9A"/>
    <w:rsid w:val="000E2E49"/>
    <w:rsid w:val="001000A0"/>
    <w:rsid w:val="00101220"/>
    <w:rsid w:val="00146657"/>
    <w:rsid w:val="001705C6"/>
    <w:rsid w:val="001766D9"/>
    <w:rsid w:val="00187746"/>
    <w:rsid w:val="00190859"/>
    <w:rsid w:val="001B2D4D"/>
    <w:rsid w:val="001D5C93"/>
    <w:rsid w:val="001E0761"/>
    <w:rsid w:val="001F1510"/>
    <w:rsid w:val="002033A1"/>
    <w:rsid w:val="0022786C"/>
    <w:rsid w:val="00227B06"/>
    <w:rsid w:val="0023121A"/>
    <w:rsid w:val="002529F9"/>
    <w:rsid w:val="002556A6"/>
    <w:rsid w:val="00261104"/>
    <w:rsid w:val="00265151"/>
    <w:rsid w:val="00266BDE"/>
    <w:rsid w:val="00295E09"/>
    <w:rsid w:val="002972E9"/>
    <w:rsid w:val="002A662A"/>
    <w:rsid w:val="002B6993"/>
    <w:rsid w:val="002C2D63"/>
    <w:rsid w:val="002D2CD3"/>
    <w:rsid w:val="002D7902"/>
    <w:rsid w:val="002E0F49"/>
    <w:rsid w:val="0030518F"/>
    <w:rsid w:val="0032619C"/>
    <w:rsid w:val="00331170"/>
    <w:rsid w:val="00344EF6"/>
    <w:rsid w:val="003471D8"/>
    <w:rsid w:val="00352033"/>
    <w:rsid w:val="00353FE2"/>
    <w:rsid w:val="00355882"/>
    <w:rsid w:val="00362EEA"/>
    <w:rsid w:val="00374E6F"/>
    <w:rsid w:val="0039356F"/>
    <w:rsid w:val="0039364E"/>
    <w:rsid w:val="003A5380"/>
    <w:rsid w:val="003C3B7F"/>
    <w:rsid w:val="003F608C"/>
    <w:rsid w:val="00435724"/>
    <w:rsid w:val="00435DAA"/>
    <w:rsid w:val="004363D2"/>
    <w:rsid w:val="0043773F"/>
    <w:rsid w:val="004452C5"/>
    <w:rsid w:val="00476E5B"/>
    <w:rsid w:val="00481366"/>
    <w:rsid w:val="004B1397"/>
    <w:rsid w:val="004D5ED1"/>
    <w:rsid w:val="004D6FBA"/>
    <w:rsid w:val="004E0A46"/>
    <w:rsid w:val="005056DB"/>
    <w:rsid w:val="0052176C"/>
    <w:rsid w:val="00530F81"/>
    <w:rsid w:val="0053126D"/>
    <w:rsid w:val="005325A6"/>
    <w:rsid w:val="00537D7E"/>
    <w:rsid w:val="00544E24"/>
    <w:rsid w:val="005563E7"/>
    <w:rsid w:val="00561FAD"/>
    <w:rsid w:val="005660C1"/>
    <w:rsid w:val="005C4E01"/>
    <w:rsid w:val="005D3613"/>
    <w:rsid w:val="005D59AF"/>
    <w:rsid w:val="005E6309"/>
    <w:rsid w:val="005E64FA"/>
    <w:rsid w:val="005F2AC9"/>
    <w:rsid w:val="00654576"/>
    <w:rsid w:val="00681FD9"/>
    <w:rsid w:val="006838E0"/>
    <w:rsid w:val="006E0EE3"/>
    <w:rsid w:val="006F3479"/>
    <w:rsid w:val="006F362A"/>
    <w:rsid w:val="006F45F0"/>
    <w:rsid w:val="006F4F81"/>
    <w:rsid w:val="007028E4"/>
    <w:rsid w:val="00745D7E"/>
    <w:rsid w:val="007650E5"/>
    <w:rsid w:val="00775BDB"/>
    <w:rsid w:val="007C1E86"/>
    <w:rsid w:val="007C61AA"/>
    <w:rsid w:val="007D73EB"/>
    <w:rsid w:val="007E2E69"/>
    <w:rsid w:val="008327AE"/>
    <w:rsid w:val="008373AE"/>
    <w:rsid w:val="00862E11"/>
    <w:rsid w:val="008774B9"/>
    <w:rsid w:val="008B7546"/>
    <w:rsid w:val="008C58FC"/>
    <w:rsid w:val="008D11FD"/>
    <w:rsid w:val="008D5253"/>
    <w:rsid w:val="008E6078"/>
    <w:rsid w:val="008E7FC8"/>
    <w:rsid w:val="00904A0C"/>
    <w:rsid w:val="009109FB"/>
    <w:rsid w:val="00954B39"/>
    <w:rsid w:val="00954D4B"/>
    <w:rsid w:val="00981BF3"/>
    <w:rsid w:val="00987504"/>
    <w:rsid w:val="009D00C4"/>
    <w:rsid w:val="009D1607"/>
    <w:rsid w:val="009E4500"/>
    <w:rsid w:val="009E789C"/>
    <w:rsid w:val="009F6B7F"/>
    <w:rsid w:val="009F6C10"/>
    <w:rsid w:val="00A07122"/>
    <w:rsid w:val="00A172B7"/>
    <w:rsid w:val="00A45505"/>
    <w:rsid w:val="00A61B69"/>
    <w:rsid w:val="00A627D1"/>
    <w:rsid w:val="00A70E45"/>
    <w:rsid w:val="00A83213"/>
    <w:rsid w:val="00A95EB8"/>
    <w:rsid w:val="00AA7830"/>
    <w:rsid w:val="00AB6388"/>
    <w:rsid w:val="00AE12C0"/>
    <w:rsid w:val="00AF6D93"/>
    <w:rsid w:val="00B31A1A"/>
    <w:rsid w:val="00B462C3"/>
    <w:rsid w:val="00B61CFA"/>
    <w:rsid w:val="00B650A7"/>
    <w:rsid w:val="00B746BC"/>
    <w:rsid w:val="00B75DDA"/>
    <w:rsid w:val="00B9109C"/>
    <w:rsid w:val="00B92D76"/>
    <w:rsid w:val="00BA7EF2"/>
    <w:rsid w:val="00BC13B2"/>
    <w:rsid w:val="00BC184E"/>
    <w:rsid w:val="00BC314D"/>
    <w:rsid w:val="00BC61F2"/>
    <w:rsid w:val="00BF536E"/>
    <w:rsid w:val="00C10615"/>
    <w:rsid w:val="00C224BF"/>
    <w:rsid w:val="00C60CB7"/>
    <w:rsid w:val="00C61F74"/>
    <w:rsid w:val="00C84A0F"/>
    <w:rsid w:val="00CA5BA0"/>
    <w:rsid w:val="00CB15D0"/>
    <w:rsid w:val="00CC445A"/>
    <w:rsid w:val="00CC7A46"/>
    <w:rsid w:val="00CD4DEC"/>
    <w:rsid w:val="00CE2C9E"/>
    <w:rsid w:val="00D06AC6"/>
    <w:rsid w:val="00D07197"/>
    <w:rsid w:val="00D07721"/>
    <w:rsid w:val="00D167E1"/>
    <w:rsid w:val="00D1757B"/>
    <w:rsid w:val="00D43190"/>
    <w:rsid w:val="00D620D0"/>
    <w:rsid w:val="00D658E4"/>
    <w:rsid w:val="00D74CCC"/>
    <w:rsid w:val="00D81A05"/>
    <w:rsid w:val="00D825C4"/>
    <w:rsid w:val="00D87D4C"/>
    <w:rsid w:val="00DA23AA"/>
    <w:rsid w:val="00DA6BEA"/>
    <w:rsid w:val="00DA6D6F"/>
    <w:rsid w:val="00DB4DCE"/>
    <w:rsid w:val="00DC4355"/>
    <w:rsid w:val="00DD7E92"/>
    <w:rsid w:val="00DE4BAF"/>
    <w:rsid w:val="00DF545A"/>
    <w:rsid w:val="00E042CE"/>
    <w:rsid w:val="00E05C34"/>
    <w:rsid w:val="00E20B2B"/>
    <w:rsid w:val="00E5013B"/>
    <w:rsid w:val="00E75C59"/>
    <w:rsid w:val="00E80BAF"/>
    <w:rsid w:val="00E81B5A"/>
    <w:rsid w:val="00E8440B"/>
    <w:rsid w:val="00E859F7"/>
    <w:rsid w:val="00E950BC"/>
    <w:rsid w:val="00EA7982"/>
    <w:rsid w:val="00ED23F4"/>
    <w:rsid w:val="00EE169D"/>
    <w:rsid w:val="00EE2B75"/>
    <w:rsid w:val="00EF7030"/>
    <w:rsid w:val="00F07C9B"/>
    <w:rsid w:val="00F21F78"/>
    <w:rsid w:val="00F327FC"/>
    <w:rsid w:val="00F32860"/>
    <w:rsid w:val="00F61052"/>
    <w:rsid w:val="00F70FF8"/>
    <w:rsid w:val="00F73F57"/>
    <w:rsid w:val="00F90FC4"/>
    <w:rsid w:val="00FA2B84"/>
    <w:rsid w:val="00FA3598"/>
    <w:rsid w:val="00FA59D1"/>
    <w:rsid w:val="00FB44C6"/>
    <w:rsid w:val="00FC49DA"/>
    <w:rsid w:val="00FC6A08"/>
    <w:rsid w:val="00FE45AB"/>
    <w:rsid w:val="00FE685D"/>
    <w:rsid w:val="00FF2D39"/>
    <w:rsid w:val="00FF51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D1"/>
    <w:pPr>
      <w:spacing w:after="24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62A"/>
    <w:pPr>
      <w:keepNext/>
      <w:pBdr>
        <w:bottom w:val="single" w:sz="12" w:space="1" w:color="365F91" w:themeColor="accent1" w:themeShade="BF"/>
      </w:pBdr>
      <w:spacing w:before="24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62A"/>
    <w:pPr>
      <w:keepNext/>
      <w:pBdr>
        <w:bottom w:val="single" w:sz="8" w:space="1" w:color="4F81BD" w:themeColor="accent1"/>
      </w:pBdr>
      <w:spacing w:before="200" w:after="80"/>
      <w:ind w:left="3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ED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ED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ED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ED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ED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ED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ED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2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PlainText">
    <w:name w:val="Plain Text"/>
    <w:basedOn w:val="Normal"/>
    <w:link w:val="PlainTextChar"/>
    <w:rsid w:val="005660C1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660C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D5ED1"/>
  </w:style>
  <w:style w:type="paragraph" w:styleId="Header">
    <w:name w:val="header"/>
    <w:basedOn w:val="Normal"/>
    <w:link w:val="HeaderChar"/>
    <w:uiPriority w:val="99"/>
    <w:unhideWhenUsed/>
    <w:rsid w:val="00355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8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5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88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D5ED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E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E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Hyperlink">
    <w:name w:val="Hyperlink"/>
    <w:basedOn w:val="DefaultParagraphFont"/>
    <w:uiPriority w:val="99"/>
    <w:unhideWhenUsed/>
    <w:rsid w:val="00B9109C"/>
    <w:rPr>
      <w:color w:val="0000FF" w:themeColor="hyperlink"/>
      <w:u w:val="single"/>
    </w:rPr>
  </w:style>
  <w:style w:type="paragraph" w:customStyle="1" w:styleId="LSTitle">
    <w:name w:val="LS Title"/>
    <w:basedOn w:val="Normal"/>
    <w:rsid w:val="006F45F0"/>
    <w:rPr>
      <w:b/>
      <w:color w:val="404040" w:themeColor="text1" w:themeTint="BF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C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A662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5E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zzmpTrailerItem">
    <w:name w:val="zzmpTrailerItem"/>
    <w:basedOn w:val="DefaultParagraphFont"/>
    <w:rsid w:val="005056DB"/>
    <w:rPr>
      <w:rFonts w:ascii="Cambria" w:hAnsi="Cambri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4D5ED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D5E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E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E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E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E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E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E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5ED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ED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5ED1"/>
    <w:rPr>
      <w:i/>
      <w:iCs/>
      <w:sz w:val="24"/>
      <w:szCs w:val="24"/>
    </w:rPr>
  </w:style>
  <w:style w:type="character" w:styleId="Strong">
    <w:name w:val="Strong"/>
    <w:basedOn w:val="DefaultParagraphFont"/>
    <w:qFormat/>
    <w:rsid w:val="004D5ED1"/>
    <w:rPr>
      <w:b/>
      <w:bCs/>
      <w:spacing w:val="0"/>
    </w:rPr>
  </w:style>
  <w:style w:type="character" w:styleId="Emphasis">
    <w:name w:val="Emphasis"/>
    <w:uiPriority w:val="20"/>
    <w:qFormat/>
    <w:rsid w:val="004D5ED1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D5ED1"/>
  </w:style>
  <w:style w:type="paragraph" w:styleId="Quote">
    <w:name w:val="Quote"/>
    <w:basedOn w:val="Normal"/>
    <w:next w:val="Normal"/>
    <w:link w:val="QuoteChar"/>
    <w:uiPriority w:val="29"/>
    <w:qFormat/>
    <w:rsid w:val="004D5E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D5E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SubtleEmphasis">
    <w:name w:val="Subtle Emphasis"/>
    <w:uiPriority w:val="19"/>
    <w:qFormat/>
    <w:rsid w:val="004D5E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D5E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D5E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D5E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D5E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ED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87504"/>
    <w:pPr>
      <w:tabs>
        <w:tab w:val="right" w:leader="dot" w:pos="10070"/>
      </w:tabs>
      <w:spacing w:after="0"/>
    </w:pPr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87504"/>
    <w:pPr>
      <w:spacing w:after="0"/>
      <w:ind w:left="216"/>
    </w:pPr>
    <w:rPr>
      <w:sz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C31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31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31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31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31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31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314D"/>
    <w:pPr>
      <w:spacing w:after="100"/>
      <w:ind w:left="1760"/>
    </w:pPr>
  </w:style>
  <w:style w:type="paragraph" w:customStyle="1" w:styleId="PolicyHeaderFill">
    <w:name w:val="Policy Header Fill"/>
    <w:basedOn w:val="Normal"/>
    <w:rsid w:val="001705C6"/>
    <w:pPr>
      <w:spacing w:after="0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FooterTableHeader">
    <w:name w:val="Footer Table Header"/>
    <w:basedOn w:val="Normal"/>
    <w:rsid w:val="001705C6"/>
    <w:pPr>
      <w:widowControl w:val="0"/>
      <w:spacing w:after="0"/>
      <w:jc w:val="center"/>
    </w:pPr>
    <w:rPr>
      <w:rFonts w:ascii="Arial" w:eastAsia="Times New Roman" w:hAnsi="Arial" w:cs="Times New Roman"/>
      <w:b/>
      <w:bCs/>
      <w:color w:val="00527A"/>
      <w:sz w:val="20"/>
      <w:szCs w:val="20"/>
    </w:rPr>
  </w:style>
  <w:style w:type="table" w:styleId="TableGrid">
    <w:name w:val="Table Grid"/>
    <w:basedOn w:val="TableNormal"/>
    <w:uiPriority w:val="59"/>
    <w:rsid w:val="0017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62E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862E1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PolicyElementHeader">
    <w:name w:val="Policy Element Header"/>
    <w:basedOn w:val="Heading1"/>
    <w:next w:val="Normal"/>
    <w:rsid w:val="004363D2"/>
    <w:pPr>
      <w:pBdr>
        <w:bottom w:val="none" w:sz="0" w:space="0" w:color="auto"/>
      </w:pBdr>
      <w:shd w:val="pct10" w:color="auto" w:fill="auto"/>
      <w:spacing w:after="120"/>
    </w:pPr>
    <w:rPr>
      <w:rFonts w:ascii="Arial" w:eastAsia="Times New Roman" w:hAnsi="Arial" w:cs="Times New Roman"/>
      <w:bCs w:val="0"/>
      <w:smallCaps/>
      <w:color w:val="auto"/>
      <w:kern w:val="28"/>
      <w:sz w:val="28"/>
      <w:szCs w:val="20"/>
    </w:rPr>
  </w:style>
  <w:style w:type="paragraph" w:customStyle="1" w:styleId="PolicyBodyText">
    <w:name w:val="Policy Body Text"/>
    <w:basedOn w:val="Normal"/>
    <w:qFormat/>
    <w:rsid w:val="004363D2"/>
    <w:pPr>
      <w:shd w:val="clear" w:color="auto" w:fill="FFFFFF"/>
      <w:spacing w:before="120" w:after="120"/>
      <w:ind w:left="360"/>
    </w:pPr>
    <w:rPr>
      <w:rFonts w:ascii="Arial" w:eastAsia="Times New Roman" w:hAnsi="Arial" w:cs="Times New Roman"/>
      <w:szCs w:val="24"/>
    </w:rPr>
  </w:style>
  <w:style w:type="paragraph" w:customStyle="1" w:styleId="NumberedList">
    <w:name w:val="NumberedList"/>
    <w:basedOn w:val="Normal"/>
    <w:link w:val="NumberedListChar"/>
    <w:qFormat/>
    <w:rsid w:val="009E789C"/>
    <w:pPr>
      <w:numPr>
        <w:numId w:val="13"/>
      </w:numPr>
      <w:tabs>
        <w:tab w:val="clear" w:pos="720"/>
        <w:tab w:val="num" w:pos="360"/>
      </w:tabs>
      <w:autoSpaceDN w:val="0"/>
      <w:spacing w:before="120" w:after="120"/>
    </w:pPr>
    <w:rPr>
      <w:rFonts w:eastAsia="MS Mincho"/>
      <w:sz w:val="20"/>
    </w:rPr>
  </w:style>
  <w:style w:type="character" w:customStyle="1" w:styleId="NumberedListChar">
    <w:name w:val="NumberedList Char"/>
    <w:basedOn w:val="DefaultParagraphFont"/>
    <w:link w:val="NumberedList"/>
    <w:rsid w:val="009E789C"/>
    <w:rPr>
      <w:rFonts w:eastAsia="MS Mincho"/>
      <w:sz w:val="20"/>
    </w:rPr>
  </w:style>
  <w:style w:type="paragraph" w:customStyle="1" w:styleId="PolicyTextIndent">
    <w:name w:val="Policy Text Indent"/>
    <w:basedOn w:val="Normal"/>
    <w:rsid w:val="002033A1"/>
    <w:pPr>
      <w:spacing w:after="120"/>
      <w:ind w:left="360"/>
    </w:pPr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D1"/>
    <w:pPr>
      <w:spacing w:after="24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662A"/>
    <w:pPr>
      <w:keepNext/>
      <w:pBdr>
        <w:bottom w:val="single" w:sz="12" w:space="1" w:color="365F91" w:themeColor="accent1" w:themeShade="BF"/>
      </w:pBdr>
      <w:spacing w:before="24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62A"/>
    <w:pPr>
      <w:keepNext/>
      <w:pBdr>
        <w:bottom w:val="single" w:sz="8" w:space="1" w:color="4F81BD" w:themeColor="accent1"/>
      </w:pBdr>
      <w:spacing w:before="200" w:after="80"/>
      <w:ind w:left="3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ED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ED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ED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ED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ED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ED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ED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62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PlainText">
    <w:name w:val="Plain Text"/>
    <w:basedOn w:val="Normal"/>
    <w:link w:val="PlainTextChar"/>
    <w:rsid w:val="005660C1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5660C1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D5ED1"/>
  </w:style>
  <w:style w:type="paragraph" w:styleId="Header">
    <w:name w:val="header"/>
    <w:basedOn w:val="Normal"/>
    <w:link w:val="HeaderChar"/>
    <w:uiPriority w:val="99"/>
    <w:unhideWhenUsed/>
    <w:rsid w:val="003558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8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58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88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D5ED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E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E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Hyperlink">
    <w:name w:val="Hyperlink"/>
    <w:basedOn w:val="DefaultParagraphFont"/>
    <w:uiPriority w:val="99"/>
    <w:unhideWhenUsed/>
    <w:rsid w:val="00B9109C"/>
    <w:rPr>
      <w:color w:val="0000FF" w:themeColor="hyperlink"/>
      <w:u w:val="single"/>
    </w:rPr>
  </w:style>
  <w:style w:type="paragraph" w:customStyle="1" w:styleId="LSTitle">
    <w:name w:val="LS Title"/>
    <w:basedOn w:val="Normal"/>
    <w:rsid w:val="006F45F0"/>
    <w:rPr>
      <w:b/>
      <w:color w:val="404040" w:themeColor="text1" w:themeTint="BF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C4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A662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5E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zzmpTrailerItem">
    <w:name w:val="zzmpTrailerItem"/>
    <w:basedOn w:val="DefaultParagraphFont"/>
    <w:rsid w:val="005056DB"/>
    <w:rPr>
      <w:rFonts w:ascii="Cambria" w:hAnsi="Cambria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4D5ED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D5E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E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E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E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E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E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E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D5ED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ED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5ED1"/>
    <w:rPr>
      <w:i/>
      <w:iCs/>
      <w:sz w:val="24"/>
      <w:szCs w:val="24"/>
    </w:rPr>
  </w:style>
  <w:style w:type="character" w:styleId="Strong">
    <w:name w:val="Strong"/>
    <w:basedOn w:val="DefaultParagraphFont"/>
    <w:qFormat/>
    <w:rsid w:val="004D5ED1"/>
    <w:rPr>
      <w:b/>
      <w:bCs/>
      <w:spacing w:val="0"/>
    </w:rPr>
  </w:style>
  <w:style w:type="character" w:styleId="Emphasis">
    <w:name w:val="Emphasis"/>
    <w:uiPriority w:val="20"/>
    <w:qFormat/>
    <w:rsid w:val="004D5ED1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D5ED1"/>
  </w:style>
  <w:style w:type="paragraph" w:styleId="Quote">
    <w:name w:val="Quote"/>
    <w:basedOn w:val="Normal"/>
    <w:next w:val="Normal"/>
    <w:link w:val="QuoteChar"/>
    <w:uiPriority w:val="29"/>
    <w:qFormat/>
    <w:rsid w:val="004D5E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D5E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SubtleEmphasis">
    <w:name w:val="Subtle Emphasis"/>
    <w:uiPriority w:val="19"/>
    <w:qFormat/>
    <w:rsid w:val="004D5E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D5E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D5E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D5E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D5E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5ED1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987504"/>
    <w:pPr>
      <w:tabs>
        <w:tab w:val="right" w:leader="dot" w:pos="10070"/>
      </w:tabs>
      <w:spacing w:after="0"/>
    </w:pPr>
    <w:rPr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87504"/>
    <w:pPr>
      <w:spacing w:after="0"/>
      <w:ind w:left="216"/>
    </w:pPr>
    <w:rPr>
      <w:sz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C31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31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31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31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31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31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314D"/>
    <w:pPr>
      <w:spacing w:after="100"/>
      <w:ind w:left="1760"/>
    </w:pPr>
  </w:style>
  <w:style w:type="paragraph" w:customStyle="1" w:styleId="PolicyHeaderFill">
    <w:name w:val="Policy Header Fill"/>
    <w:basedOn w:val="Normal"/>
    <w:rsid w:val="001705C6"/>
    <w:pPr>
      <w:spacing w:after="0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FooterTableHeader">
    <w:name w:val="Footer Table Header"/>
    <w:basedOn w:val="Normal"/>
    <w:rsid w:val="001705C6"/>
    <w:pPr>
      <w:widowControl w:val="0"/>
      <w:spacing w:after="0"/>
      <w:jc w:val="center"/>
    </w:pPr>
    <w:rPr>
      <w:rFonts w:ascii="Arial" w:eastAsia="Times New Roman" w:hAnsi="Arial" w:cs="Times New Roman"/>
      <w:b/>
      <w:bCs/>
      <w:color w:val="00527A"/>
      <w:sz w:val="20"/>
      <w:szCs w:val="20"/>
    </w:rPr>
  </w:style>
  <w:style w:type="table" w:styleId="TableGrid">
    <w:name w:val="Table Grid"/>
    <w:basedOn w:val="TableNormal"/>
    <w:uiPriority w:val="59"/>
    <w:rsid w:val="0017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62E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862E1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PolicyElementHeader">
    <w:name w:val="Policy Element Header"/>
    <w:basedOn w:val="Heading1"/>
    <w:next w:val="Normal"/>
    <w:rsid w:val="004363D2"/>
    <w:pPr>
      <w:pBdr>
        <w:bottom w:val="none" w:sz="0" w:space="0" w:color="auto"/>
      </w:pBdr>
      <w:shd w:val="pct10" w:color="auto" w:fill="auto"/>
      <w:spacing w:after="120"/>
    </w:pPr>
    <w:rPr>
      <w:rFonts w:ascii="Arial" w:eastAsia="Times New Roman" w:hAnsi="Arial" w:cs="Times New Roman"/>
      <w:bCs w:val="0"/>
      <w:smallCaps/>
      <w:color w:val="auto"/>
      <w:kern w:val="28"/>
      <w:sz w:val="28"/>
      <w:szCs w:val="20"/>
    </w:rPr>
  </w:style>
  <w:style w:type="paragraph" w:customStyle="1" w:styleId="PolicyBodyText">
    <w:name w:val="Policy Body Text"/>
    <w:basedOn w:val="Normal"/>
    <w:qFormat/>
    <w:rsid w:val="004363D2"/>
    <w:pPr>
      <w:shd w:val="clear" w:color="auto" w:fill="FFFFFF"/>
      <w:spacing w:before="120" w:after="120"/>
      <w:ind w:left="360"/>
    </w:pPr>
    <w:rPr>
      <w:rFonts w:ascii="Arial" w:eastAsia="Times New Roman" w:hAnsi="Arial" w:cs="Times New Roman"/>
      <w:szCs w:val="24"/>
    </w:rPr>
  </w:style>
  <w:style w:type="paragraph" w:customStyle="1" w:styleId="NumberedList">
    <w:name w:val="NumberedList"/>
    <w:basedOn w:val="Normal"/>
    <w:link w:val="NumberedListChar"/>
    <w:qFormat/>
    <w:rsid w:val="009E789C"/>
    <w:pPr>
      <w:numPr>
        <w:numId w:val="13"/>
      </w:numPr>
      <w:tabs>
        <w:tab w:val="clear" w:pos="720"/>
        <w:tab w:val="num" w:pos="360"/>
      </w:tabs>
      <w:autoSpaceDN w:val="0"/>
      <w:spacing w:before="120" w:after="120"/>
    </w:pPr>
    <w:rPr>
      <w:rFonts w:eastAsia="MS Mincho"/>
      <w:sz w:val="20"/>
    </w:rPr>
  </w:style>
  <w:style w:type="character" w:customStyle="1" w:styleId="NumberedListChar">
    <w:name w:val="NumberedList Char"/>
    <w:basedOn w:val="DefaultParagraphFont"/>
    <w:link w:val="NumberedList"/>
    <w:rsid w:val="009E789C"/>
    <w:rPr>
      <w:rFonts w:eastAsia="MS Mincho"/>
      <w:sz w:val="20"/>
    </w:rPr>
  </w:style>
  <w:style w:type="paragraph" w:customStyle="1" w:styleId="PolicyTextIndent">
    <w:name w:val="Policy Text Indent"/>
    <w:basedOn w:val="Normal"/>
    <w:rsid w:val="002033A1"/>
    <w:pPr>
      <w:spacing w:after="120"/>
      <w:ind w:left="36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D2D2E0-B7AA-4C61-9D80-27F7ECB41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1108</Words>
  <Characters>6594</Characters>
  <Application>Microsoft Office Word</Application>
  <DocSecurity>0</DocSecurity>
  <Lines>149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2016-07-14T12:33:00Z</cp:lastPrinted>
  <dcterms:created xsi:type="dcterms:W3CDTF">2017-03-10T20:18:00Z</dcterms:created>
  <dcterms:modified xsi:type="dcterms:W3CDTF">2017-03-10T20:22:00Z</dcterms:modified>
</cp:coreProperties>
</file>