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27DC" w:rsidRPr="00EC5816" w:rsidRDefault="00D43D07" w:rsidP="00D43D07">
      <w:pPr>
        <w:jc w:val="center"/>
        <w:rPr>
          <w:rFonts w:ascii="Helvetica" w:hAnsi="Helvetica"/>
          <w:b/>
          <w:bCs/>
          <w:sz w:val="40"/>
          <w:szCs w:val="40"/>
        </w:rPr>
      </w:pPr>
      <w:r w:rsidRPr="00EC5816">
        <w:rPr>
          <w:rFonts w:ascii="Helvetica" w:hAnsi="Helvetica"/>
          <w:b/>
          <w:bCs/>
          <w:sz w:val="40"/>
          <w:szCs w:val="40"/>
        </w:rPr>
        <w:t>Criterios para el Registro del Gasto Comprometido y Devengado</w:t>
      </w:r>
    </w:p>
    <w:p w:rsidR="00D43D07" w:rsidRDefault="00D43D07"/>
    <w:p w:rsidR="00D43D07" w:rsidRDefault="00D43D07"/>
    <w:tbl>
      <w:tblPr>
        <w:tblW w:w="13183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913"/>
        <w:gridCol w:w="3933"/>
        <w:gridCol w:w="5337"/>
      </w:tblGrid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F54D8E">
              <w:rPr>
                <w:b/>
                <w:szCs w:val="18"/>
              </w:rPr>
              <w:t>TIPO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F54D8E">
              <w:rPr>
                <w:b/>
                <w:szCs w:val="18"/>
              </w:rPr>
              <w:t>COMPROMETIDO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Cs w:val="18"/>
              </w:rPr>
            </w:pPr>
            <w:r w:rsidRPr="00F54D8E">
              <w:rPr>
                <w:b/>
                <w:szCs w:val="18"/>
              </w:rPr>
              <w:t>DEVENGADO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F54D8E">
              <w:rPr>
                <w:szCs w:val="18"/>
                <w:lang w:val="es-AR" w:eastAsia="es-MX"/>
              </w:rPr>
              <w:t>Remuneraciones</w:t>
            </w:r>
            <w:r w:rsidRPr="00F54D8E">
              <w:rPr>
                <w:szCs w:val="18"/>
              </w:rPr>
              <w:t xml:space="preserve"> al personal de carácter permanente.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right"/>
              <w:rPr>
                <w:szCs w:val="18"/>
              </w:rPr>
            </w:pPr>
            <w:r w:rsidRPr="00F54D8E">
              <w:rPr>
                <w:color w:val="0000FF"/>
                <w:szCs w:val="18"/>
              </w:rPr>
              <w:t>Mejora DOF 02-01-2013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iniciarse el ejercicio por el monto que surge del cálculo del gasto presupuestal anual de las plazas ocupadas al inicio del ejercicio.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Corresponde incluir todas las remuneraciones de tipo permanentes tales como sueldos, primas, asignaciones, compensaciones, gratificación de fin de año, otras prestaciones y cuotas patronales.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Durante el ejercicio se incrementa por cada designación y variación de retribuciones. Se reduce por licencias sin goce de sueldos, renuncias, suspensiones, inasistencias, etc.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Por las remuneraciones brutas al validarse la nómina periódica por la que se reconoce la prestación de los servicios en un período determinado.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Respecto a las obligaciones laborales por la parte proporcional del servicio prestado.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val="es-AR" w:eastAsia="es-MX"/>
              </w:rPr>
            </w:pPr>
            <w:r w:rsidRPr="00F54D8E">
              <w:rPr>
                <w:szCs w:val="18"/>
                <w:lang w:val="es-AR" w:eastAsia="es-MX"/>
              </w:rPr>
              <w:t>Remuneraciones no permanentes (horas extraordinarias, estímulos, recompensas, etc.)</w:t>
            </w: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  <w:lang w:eastAsia="es-MX"/>
              </w:rPr>
            </w:pPr>
            <w:r w:rsidRPr="00F54D8E">
              <w:rPr>
                <w:color w:val="0000FF"/>
                <w:szCs w:val="18"/>
              </w:rPr>
              <w:t>Mejora DOF 02-01-2013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val="es-AR" w:eastAsia="es-MX"/>
              </w:rPr>
            </w:pPr>
            <w:r w:rsidRPr="00F54D8E">
              <w:rPr>
                <w:szCs w:val="18"/>
                <w:lang w:eastAsia="es-MX"/>
              </w:rPr>
              <w:t>Al establecerse el beneficio por acuerdo, oficio o acto de autoridad competente.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eastAsia="es-MX"/>
              </w:rPr>
            </w:pPr>
            <w:r w:rsidRPr="00F54D8E">
              <w:rPr>
                <w:szCs w:val="18"/>
                <w:lang w:val="es-AR" w:eastAsia="es-MX"/>
              </w:rPr>
              <w:t>A</w:t>
            </w:r>
            <w:r w:rsidRPr="00F54D8E">
              <w:rPr>
                <w:szCs w:val="18"/>
                <w:lang w:eastAsia="es-MX"/>
              </w:rPr>
              <w:t>l validarse la nómina periódica o el recibo por el que se establece el monto bruto del beneficio acordado.</w:t>
            </w: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eastAsia="es-MX"/>
              </w:rPr>
            </w:pPr>
            <w:r w:rsidRPr="00F54D8E">
              <w:rPr>
                <w:szCs w:val="18"/>
                <w:lang w:eastAsia="es-MX"/>
              </w:rPr>
              <w:t>Respecto a las obligaciones laborales por la parte proporcional del servicio prestado.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eastAsia="es-MX"/>
              </w:rPr>
            </w:pPr>
            <w:r w:rsidRPr="00F54D8E">
              <w:rPr>
                <w:szCs w:val="18"/>
                <w:lang w:eastAsia="es-MX"/>
              </w:rPr>
              <w:t>Remuneraciones al personal de carácter transitorio (eventual)</w:t>
            </w: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jc w:val="right"/>
              <w:rPr>
                <w:color w:val="0000FF"/>
                <w:szCs w:val="18"/>
              </w:rPr>
            </w:pPr>
          </w:p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jc w:val="right"/>
              <w:rPr>
                <w:szCs w:val="18"/>
                <w:lang w:eastAsia="es-MX"/>
              </w:rPr>
            </w:pPr>
            <w:r w:rsidRPr="00F54D8E">
              <w:rPr>
                <w:color w:val="0000FF"/>
                <w:szCs w:val="18"/>
              </w:rPr>
              <w:t>Mejora DOF 02-01-2013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eastAsia="es-MX"/>
              </w:rPr>
            </w:pPr>
            <w:r w:rsidRPr="00F54D8E">
              <w:rPr>
                <w:szCs w:val="18"/>
                <w:lang w:val="es-AR" w:eastAsia="es-MX"/>
              </w:rPr>
              <w:t>Al formalizarse la contratación de servicios o la designación transitoria, por el gasto total a pagar durante el período de contrato o hasta la finalización del ejercicio presupuestario. Se reduce por anulación, rescisión o cancelación del contrato</w:t>
            </w:r>
            <w:r>
              <w:rPr>
                <w:szCs w:val="18"/>
                <w:lang w:val="es-MX" w:eastAsia="es-MX"/>
              </w:rPr>
              <w:t>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24" w:lineRule="exact"/>
              <w:ind w:firstLine="0"/>
              <w:rPr>
                <w:szCs w:val="18"/>
                <w:lang w:val="es-AR" w:eastAsia="es-MX"/>
              </w:rPr>
            </w:pPr>
            <w:r w:rsidRPr="00F54D8E">
              <w:rPr>
                <w:szCs w:val="18"/>
                <w:lang w:eastAsia="es-MX"/>
              </w:rPr>
              <w:t>Por las remuneraciones brutas al validarse la nómina periódica o el recibo que acredita la prestación de los servicios en un período determinado o el cumplimiento de los requisitos en término de las disposiciones aplicables.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Bienes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formalizarse el contrato o pedido por autoridad competente.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en que se reciben de conformidad los bienes.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Servicios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formalizarse el contrato, pedido o estimación por autoridad competente.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de la recepción de conformidad, para el periodo o avance pactado de conformidad con las condiciones del contrato.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Comisiones financieras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el momento en el que se conoce su aplicación por parte de las instituciones financieras.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Gastos de viaje y viáticos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formalizarse mediante oficio de comisión o equivalente.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de la autorización de la documentación comprobatoria presentada por el servidor público.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Inmuebles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formalizarse el contrato de promesa de compra venta o su equivalente.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Cuando se traslade la propiedad del bien.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lastRenderedPageBreak/>
              <w:t>Obra pública y servicios relacionados con las mismas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formalizarse el contrato por autoridad competente.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de aceptación de las estimaciones de avance de obra (contrato de obra a precios unitarios), o en la fecha de recepción de conformidad de la obra (contrato a precio alzado).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Recursos por convenio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 la formalización de los convenios respectivos.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de cumplimiento de los requisitos establecidos en los convenios respectivos.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 xml:space="preserve">Recursos por aportaciones 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inicio del ejercicio, por el monto total de las aportaciones previstas en el Presupuesto de Egresos o cuando se conoce.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De conformidad con los calendarios de pago y cumplimiento de las reglas de operación.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Recursos por participaciones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jc w:val="center"/>
              <w:rPr>
                <w:szCs w:val="18"/>
              </w:rPr>
            </w:pPr>
            <w:r w:rsidRPr="00F54D8E">
              <w:rPr>
                <w:szCs w:val="18"/>
              </w:rPr>
              <w:t>Al momento de liquidar las participaciones.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Donativos o apoyos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 la firma del convenio de donación o acuerdo de autoridad competente por el cual se dispone la asignación de recursos.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el momento en que se hace exigible el pago de conformidad con el convenio o acuerdo firmado o a la fecha en que se autoriza el pago por haber cumplido los requisitos en término de las disposiciones aplicables.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 xml:space="preserve">Subsidios 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autorizarse la solicitud o acto requerido.</w:t>
            </w:r>
          </w:p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inicio del ejercicio por el monto anual, del padrón de beneficiarios elegibles, revisable mensualmente.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En la fecha en que se hace exigible el pago de conformidad con reglas de operación y/o demás disposiciones aplicables.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Transferencias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inicio del ejercicio con el Presupuesto de Egresos, revisable mensualmente.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De conformidad con los calendarios de pago.</w:t>
            </w:r>
          </w:p>
        </w:tc>
      </w:tr>
      <w:tr w:rsidR="00D43D07" w:rsidRPr="00F54D8E" w:rsidTr="00142A0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Intereses y amortizaciones de la deuda pública</w:t>
            </w: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inicio del ejercicio por el monto total presupuestado con base en los vencimientos proyectados de la deuda, revisable mensualmente.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D07" w:rsidRPr="00F54D8E" w:rsidRDefault="00D43D07" w:rsidP="00142A07">
            <w:pPr>
              <w:pStyle w:val="Texto"/>
              <w:spacing w:before="40" w:after="40" w:line="200" w:lineRule="exact"/>
              <w:ind w:firstLine="0"/>
              <w:rPr>
                <w:szCs w:val="18"/>
              </w:rPr>
            </w:pPr>
            <w:r w:rsidRPr="00F54D8E">
              <w:rPr>
                <w:szCs w:val="18"/>
              </w:rPr>
              <w:t>Al vencimiento de los intereses y amortización de capital, según calendario.</w:t>
            </w:r>
          </w:p>
        </w:tc>
      </w:tr>
    </w:tbl>
    <w:p w:rsidR="00D43D07" w:rsidRDefault="00D43D07"/>
    <w:sectPr w:rsidR="00D43D07" w:rsidSect="00D43D0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D5830"/>
    <w:multiLevelType w:val="multilevel"/>
    <w:tmpl w:val="13143CCC"/>
    <w:lvl w:ilvl="0">
      <w:start w:val="1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8D67B5"/>
    <w:multiLevelType w:val="multilevel"/>
    <w:tmpl w:val="A6C6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E8452C"/>
    <w:multiLevelType w:val="multilevel"/>
    <w:tmpl w:val="D1E2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B12BB5"/>
    <w:multiLevelType w:val="multilevel"/>
    <w:tmpl w:val="BFA22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07"/>
    <w:rsid w:val="0000231F"/>
    <w:rsid w:val="0000702A"/>
    <w:rsid w:val="001044C1"/>
    <w:rsid w:val="0014232B"/>
    <w:rsid w:val="00201EB4"/>
    <w:rsid w:val="0025572E"/>
    <w:rsid w:val="004B7387"/>
    <w:rsid w:val="00533D61"/>
    <w:rsid w:val="00606743"/>
    <w:rsid w:val="00710511"/>
    <w:rsid w:val="007260CE"/>
    <w:rsid w:val="00801436"/>
    <w:rsid w:val="008567BB"/>
    <w:rsid w:val="00953B12"/>
    <w:rsid w:val="00955C6D"/>
    <w:rsid w:val="00AF0598"/>
    <w:rsid w:val="00B60B55"/>
    <w:rsid w:val="00BA6A2D"/>
    <w:rsid w:val="00BA7A86"/>
    <w:rsid w:val="00BB6D70"/>
    <w:rsid w:val="00C06A2F"/>
    <w:rsid w:val="00C928D4"/>
    <w:rsid w:val="00CA79E1"/>
    <w:rsid w:val="00D309D1"/>
    <w:rsid w:val="00D43D07"/>
    <w:rsid w:val="00E96E08"/>
    <w:rsid w:val="00EB1000"/>
    <w:rsid w:val="00EC5816"/>
    <w:rsid w:val="00F438CA"/>
    <w:rsid w:val="00FA25D7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9EE70"/>
  <w15:chartTrackingRefBased/>
  <w15:docId w15:val="{6E416E7E-CCF6-7D46-BE13-EED5EC28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07"/>
    <w:rPr>
      <w:rFonts w:ascii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928D4"/>
    <w:pPr>
      <w:keepNext/>
      <w:keepLines/>
      <w:numPr>
        <w:numId w:val="5"/>
      </w:numPr>
      <w:spacing w:after="240" w:line="324" w:lineRule="auto"/>
      <w:jc w:val="both"/>
      <w:outlineLvl w:val="0"/>
    </w:pPr>
    <w:rPr>
      <w:rFonts w:eastAsiaTheme="majorEastAsia" w:cs="Times New Roman (Títulos en alf"/>
      <w:b/>
      <w:smallCaps/>
      <w:color w:val="000000" w:themeColor="text1"/>
      <w:sz w:val="32"/>
      <w:szCs w:val="32"/>
      <w:lang w:val="es-MX" w:eastAsia="es-MX"/>
    </w:rPr>
  </w:style>
  <w:style w:type="paragraph" w:styleId="Ttulo2">
    <w:name w:val="heading 2"/>
    <w:next w:val="Normal"/>
    <w:link w:val="Ttulo2Car"/>
    <w:autoRedefine/>
    <w:uiPriority w:val="9"/>
    <w:unhideWhenUsed/>
    <w:qFormat/>
    <w:rsid w:val="00C928D4"/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outlineLvl w:val="1"/>
    </w:pPr>
    <w:rPr>
      <w:rFonts w:cs="Arial Unicode MS"/>
      <w:b/>
      <w:bCs/>
      <w:smallCaps/>
      <w:color w:val="000000"/>
      <w:sz w:val="28"/>
      <w:szCs w:val="28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28D4"/>
    <w:pPr>
      <w:keepNext/>
      <w:keepLines/>
      <w:numPr>
        <w:ilvl w:val="2"/>
        <w:numId w:val="7"/>
      </w:numPr>
      <w:spacing w:before="40" w:after="120" w:line="324" w:lineRule="auto"/>
      <w:ind w:left="1224" w:hanging="504"/>
      <w:outlineLvl w:val="2"/>
    </w:pPr>
    <w:rPr>
      <w:rFonts w:eastAsiaTheme="majorEastAsia" w:cs="Times New Roman (Títulos en alf"/>
      <w:b/>
      <w:smallCaps/>
      <w:color w:val="1F3763" w:themeColor="accent1" w:themeShade="7F"/>
      <w:sz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4C1"/>
    <w:rPr>
      <w:rFonts w:ascii="Times New Roman" w:eastAsiaTheme="majorEastAsia" w:hAnsi="Times New Roman" w:cs="Times New Roman (Títulos en alf"/>
      <w:b/>
      <w:smallCaps/>
      <w:color w:val="000000" w:themeColor="text1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928D4"/>
    <w:rPr>
      <w:rFonts w:cs="Arial Unicode MS"/>
      <w:b/>
      <w:bCs/>
      <w:smallCaps/>
      <w:color w:val="000000"/>
      <w:sz w:val="28"/>
      <w:szCs w:val="28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C928D4"/>
    <w:rPr>
      <w:rFonts w:ascii="Times New Roman" w:eastAsiaTheme="majorEastAsia" w:hAnsi="Times New Roman" w:cs="Times New Roman (Títulos en alf"/>
      <w:b/>
      <w:smallCaps/>
      <w:color w:val="1F3763" w:themeColor="accent1" w:themeShade="7F"/>
      <w:sz w:val="22"/>
      <w:lang w:eastAsia="es-MX"/>
    </w:rPr>
  </w:style>
  <w:style w:type="paragraph" w:customStyle="1" w:styleId="Texto">
    <w:name w:val="Texto"/>
    <w:basedOn w:val="Normal"/>
    <w:link w:val="TextoCar"/>
    <w:qFormat/>
    <w:rsid w:val="00D43D0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43D07"/>
    <w:rPr>
      <w:rFonts w:ascii="Arial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Zepeda</dc:creator>
  <cp:keywords/>
  <dc:description/>
  <cp:lastModifiedBy>Arlette Zepeda</cp:lastModifiedBy>
  <cp:revision>2</cp:revision>
  <dcterms:created xsi:type="dcterms:W3CDTF">2020-10-12T06:29:00Z</dcterms:created>
  <dcterms:modified xsi:type="dcterms:W3CDTF">2020-10-12T06:31:00Z</dcterms:modified>
</cp:coreProperties>
</file>