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1246" w14:textId="1A02DF1E" w:rsidR="00A57113" w:rsidRPr="00A57113" w:rsidRDefault="00A5711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57113">
        <w:rPr>
          <w:rFonts w:asciiTheme="minorHAnsi" w:hAnsiTheme="minorHAnsi" w:cstheme="minorHAnsi"/>
          <w:b/>
          <w:bCs/>
          <w:sz w:val="32"/>
          <w:szCs w:val="32"/>
        </w:rPr>
        <w:t>Action Item: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CCA3ED4" w14:textId="7B364DDF" w:rsidR="00A57113" w:rsidRDefault="00A57113">
      <w:pPr>
        <w:rPr>
          <w:rFonts w:asciiTheme="minorHAnsi" w:hAnsiTheme="minorHAnsi" w:cstheme="minorHAnsi"/>
        </w:rPr>
      </w:pPr>
    </w:p>
    <w:p w14:paraId="6D566B41" w14:textId="729206C9" w:rsidR="00A57113" w:rsidRDefault="00A571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table below, list five end-user accounts that you think would benefit from one of your hosted or managed services. For manufacturers, it might be a good exercise to list types of end-user accounts (e.g., hospitals, small businesses, technology). </w:t>
      </w:r>
    </w:p>
    <w:p w14:paraId="671B3637" w14:textId="19FBDD16" w:rsidR="00A57113" w:rsidRDefault="00A57113">
      <w:pPr>
        <w:rPr>
          <w:rFonts w:asciiTheme="minorHAnsi" w:hAnsiTheme="minorHAnsi" w:cstheme="minorHAnsi"/>
        </w:rPr>
      </w:pPr>
    </w:p>
    <w:p w14:paraId="23D4C65A" w14:textId="19FF5424" w:rsidR="00A33ABB" w:rsidRDefault="00A571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cell to the right, list three types of value that the account will receive</w:t>
      </w:r>
      <w:r w:rsidR="00D31C95">
        <w:rPr>
          <w:rFonts w:asciiTheme="minorHAnsi" w:hAnsiTheme="minorHAnsi" w:cstheme="minorHAnsi"/>
        </w:rPr>
        <w:t xml:space="preserve"> (but not the </w:t>
      </w:r>
      <w:proofErr w:type="spellStart"/>
      <w:r w:rsidR="00D31C95">
        <w:rPr>
          <w:rFonts w:asciiTheme="minorHAnsi" w:hAnsiTheme="minorHAnsi" w:cstheme="minorHAnsi"/>
        </w:rPr>
        <w:t>CapEx</w:t>
      </w:r>
      <w:proofErr w:type="spellEnd"/>
      <w:r w:rsidR="00D31C95">
        <w:rPr>
          <w:rFonts w:asciiTheme="minorHAnsi" w:hAnsiTheme="minorHAnsi" w:cstheme="minorHAnsi"/>
        </w:rPr>
        <w:t xml:space="preserve"> to </w:t>
      </w:r>
      <w:proofErr w:type="spellStart"/>
      <w:r w:rsidR="00D31C95">
        <w:rPr>
          <w:rFonts w:asciiTheme="minorHAnsi" w:hAnsiTheme="minorHAnsi" w:cstheme="minorHAnsi"/>
        </w:rPr>
        <w:t>OpEx</w:t>
      </w:r>
      <w:proofErr w:type="spellEnd"/>
      <w:r w:rsidR="00D31C95">
        <w:rPr>
          <w:rFonts w:asciiTheme="minorHAnsi" w:hAnsiTheme="minorHAnsi" w:cstheme="minorHAnsi"/>
        </w:rPr>
        <w:t xml:space="preserve"> … keep that as the BTW Statement). </w:t>
      </w:r>
    </w:p>
    <w:p w14:paraId="26FFD5B5" w14:textId="3FB652F4" w:rsidR="00A57113" w:rsidRDefault="00A5711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9"/>
      </w:tblGrid>
      <w:tr w:rsidR="00A57113" w14:paraId="7D2A1438" w14:textId="77777777" w:rsidTr="00A33ABB">
        <w:tc>
          <w:tcPr>
            <w:tcW w:w="3116" w:type="dxa"/>
            <w:shd w:val="clear" w:color="auto" w:fill="070E2B"/>
            <w:vAlign w:val="center"/>
          </w:tcPr>
          <w:p w14:paraId="60B96D9E" w14:textId="119B1EB8" w:rsidR="00A57113" w:rsidRPr="00A33ABB" w:rsidRDefault="00A57113" w:rsidP="00A5711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33ABB">
              <w:rPr>
                <w:rFonts w:asciiTheme="minorHAnsi" w:hAnsiTheme="minorHAnsi" w:cstheme="minorHAnsi"/>
                <w:sz w:val="32"/>
                <w:szCs w:val="32"/>
              </w:rPr>
              <w:t>Account</w:t>
            </w:r>
          </w:p>
        </w:tc>
        <w:tc>
          <w:tcPr>
            <w:tcW w:w="6149" w:type="dxa"/>
            <w:shd w:val="clear" w:color="auto" w:fill="070E2B"/>
            <w:vAlign w:val="center"/>
          </w:tcPr>
          <w:p w14:paraId="11B8E4B1" w14:textId="170F6858" w:rsidR="00A57113" w:rsidRPr="00A33ABB" w:rsidRDefault="00A57113" w:rsidP="00A5711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33ABB">
              <w:rPr>
                <w:rFonts w:asciiTheme="minorHAnsi" w:hAnsiTheme="minorHAnsi" w:cstheme="minorHAnsi"/>
                <w:sz w:val="32"/>
                <w:szCs w:val="32"/>
              </w:rPr>
              <w:t>Value</w:t>
            </w:r>
          </w:p>
        </w:tc>
      </w:tr>
      <w:tr w:rsidR="00A57113" w14:paraId="399CF8E6" w14:textId="77777777" w:rsidTr="00A33ABB">
        <w:trPr>
          <w:trHeight w:val="1584"/>
        </w:trPr>
        <w:tc>
          <w:tcPr>
            <w:tcW w:w="3116" w:type="dxa"/>
            <w:shd w:val="clear" w:color="auto" w:fill="E3CEA3"/>
            <w:vAlign w:val="center"/>
          </w:tcPr>
          <w:p w14:paraId="525691D8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6D6AE9EC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</w:tr>
      <w:tr w:rsidR="00A57113" w14:paraId="36CDD965" w14:textId="77777777" w:rsidTr="00A33ABB">
        <w:trPr>
          <w:trHeight w:val="1584"/>
        </w:trPr>
        <w:tc>
          <w:tcPr>
            <w:tcW w:w="3116" w:type="dxa"/>
            <w:shd w:val="clear" w:color="auto" w:fill="E3CEA3"/>
            <w:vAlign w:val="center"/>
          </w:tcPr>
          <w:p w14:paraId="56055443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00AE3903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</w:tr>
      <w:tr w:rsidR="00A57113" w14:paraId="2C38CAA6" w14:textId="77777777" w:rsidTr="00A33ABB">
        <w:trPr>
          <w:trHeight w:val="1584"/>
        </w:trPr>
        <w:tc>
          <w:tcPr>
            <w:tcW w:w="3116" w:type="dxa"/>
            <w:shd w:val="clear" w:color="auto" w:fill="E3CEA3"/>
            <w:vAlign w:val="center"/>
          </w:tcPr>
          <w:p w14:paraId="1219BF1A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225183C4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</w:tr>
      <w:tr w:rsidR="00A57113" w14:paraId="02501947" w14:textId="77777777" w:rsidTr="00A33ABB">
        <w:trPr>
          <w:trHeight w:val="1584"/>
        </w:trPr>
        <w:tc>
          <w:tcPr>
            <w:tcW w:w="3116" w:type="dxa"/>
            <w:shd w:val="clear" w:color="auto" w:fill="E3CEA3"/>
            <w:vAlign w:val="center"/>
          </w:tcPr>
          <w:p w14:paraId="19C31C7C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44A4D36F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</w:tr>
      <w:tr w:rsidR="00A57113" w14:paraId="59E58F5B" w14:textId="77777777" w:rsidTr="00A33ABB">
        <w:trPr>
          <w:trHeight w:val="1584"/>
        </w:trPr>
        <w:tc>
          <w:tcPr>
            <w:tcW w:w="3116" w:type="dxa"/>
            <w:shd w:val="clear" w:color="auto" w:fill="E3CEA3"/>
            <w:vAlign w:val="center"/>
          </w:tcPr>
          <w:p w14:paraId="6043082B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069D417A" w14:textId="77777777" w:rsidR="00A57113" w:rsidRDefault="00A57113" w:rsidP="00A57113">
            <w:pPr>
              <w:rPr>
                <w:rFonts w:asciiTheme="minorHAnsi" w:hAnsiTheme="minorHAnsi" w:cstheme="minorHAnsi"/>
              </w:rPr>
            </w:pPr>
          </w:p>
        </w:tc>
      </w:tr>
    </w:tbl>
    <w:p w14:paraId="33B05DB0" w14:textId="77777777" w:rsidR="00A57113" w:rsidRPr="00A57113" w:rsidRDefault="00A57113" w:rsidP="00A33ABB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A57113" w:rsidRPr="00A57113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BE66" w14:textId="77777777" w:rsidR="006C5606" w:rsidRDefault="006C5606" w:rsidP="00D42F12">
      <w:r>
        <w:separator/>
      </w:r>
    </w:p>
  </w:endnote>
  <w:endnote w:type="continuationSeparator" w:id="0">
    <w:p w14:paraId="074FB757" w14:textId="77777777" w:rsidR="006C5606" w:rsidRDefault="006C5606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10A8" w14:textId="77777777" w:rsidR="006C5606" w:rsidRDefault="006C5606" w:rsidP="00D42F12">
      <w:r>
        <w:separator/>
      </w:r>
    </w:p>
  </w:footnote>
  <w:footnote w:type="continuationSeparator" w:id="0">
    <w:p w14:paraId="751B16BA" w14:textId="77777777" w:rsidR="006C5606" w:rsidRDefault="006C5606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603A93"/>
    <w:rsid w:val="006C0427"/>
    <w:rsid w:val="006C5606"/>
    <w:rsid w:val="00707AD5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33ABB"/>
    <w:rsid w:val="00A46459"/>
    <w:rsid w:val="00A466F3"/>
    <w:rsid w:val="00A5711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1C95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91CD-4477-4A44-A6F5-82246BC7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4</cp:revision>
  <cp:lastPrinted>2017-02-07T14:20:00Z</cp:lastPrinted>
  <dcterms:created xsi:type="dcterms:W3CDTF">2021-06-07T21:55:00Z</dcterms:created>
  <dcterms:modified xsi:type="dcterms:W3CDTF">2021-06-11T12:48:00Z</dcterms:modified>
</cp:coreProperties>
</file>