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7C6E62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21B3FD15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7C6E62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30D6637E" w14:textId="622E8BF4" w:rsidR="0053023D" w:rsidRDefault="002B447B" w:rsidP="0053023D">
      <w:pPr>
        <w:pStyle w:val="ARCATSubSub1"/>
      </w:pPr>
      <w:r>
        <w:t>CM</w:t>
      </w:r>
      <w:r w:rsidR="0053023D">
        <w:t xml:space="preserve">- </w:t>
      </w:r>
      <w:r>
        <w:t>Chrome</w:t>
      </w:r>
      <w:r w:rsidR="0053023D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342BC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C6E6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2021-12-14T20:02:00Z</dcterms:created>
  <dcterms:modified xsi:type="dcterms:W3CDTF">2022-01-25T15:21:00Z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