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B1" w:rsidRDefault="00D205B1">
      <w:pPr>
        <w:rPr>
          <w:b/>
        </w:rPr>
      </w:pPr>
      <w:r w:rsidRPr="00D205B1">
        <w:rPr>
          <w:b/>
        </w:rPr>
        <w:t>TIEDOT HALLITUKSEN, TOIMITUSJOHTAJAN JA MUUN JOHTORYHMÄN PALKITSEMISEN PERIAATTEISTA</w:t>
      </w:r>
    </w:p>
    <w:p w:rsidR="00584FDF" w:rsidRPr="00C92378" w:rsidRDefault="00D205B1">
      <w:pPr>
        <w:rPr>
          <w:b/>
        </w:rPr>
      </w:pPr>
      <w:r>
        <w:rPr>
          <w:b/>
        </w:rPr>
        <w:t>H</w:t>
      </w:r>
      <w:r w:rsidRPr="00C92378">
        <w:rPr>
          <w:b/>
        </w:rPr>
        <w:t>allituksen palkitseminen</w:t>
      </w:r>
    </w:p>
    <w:p w:rsidR="00C92378" w:rsidRDefault="00C92378" w:rsidP="00C92378">
      <w:r>
        <w:t xml:space="preserve">Qt Group Oyj:n </w:t>
      </w:r>
      <w:bookmarkStart w:id="0" w:name="_GoBack"/>
      <w:bookmarkEnd w:id="0"/>
      <w:r>
        <w:t>hallitustyöskentelystä mak</w:t>
      </w:r>
      <w:r w:rsidR="00EE3C7C">
        <w:t>s</w:t>
      </w:r>
      <w:r>
        <w:t xml:space="preserve">etaan palkkiona </w:t>
      </w:r>
    </w:p>
    <w:p w:rsidR="00C92378" w:rsidRDefault="00C92378" w:rsidP="00C92378">
      <w:pPr>
        <w:pStyle w:val="ListParagraph"/>
        <w:numPr>
          <w:ilvl w:val="0"/>
          <w:numId w:val="1"/>
        </w:numPr>
      </w:pPr>
      <w:r>
        <w:t xml:space="preserve">hallituksen jäsenille 2 500 euroa kuukaudessa, </w:t>
      </w:r>
    </w:p>
    <w:p w:rsidR="00C92378" w:rsidRDefault="00C92378" w:rsidP="00C92378">
      <w:pPr>
        <w:pStyle w:val="ListParagraph"/>
        <w:numPr>
          <w:ilvl w:val="0"/>
          <w:numId w:val="1"/>
        </w:numPr>
      </w:pPr>
      <w:r>
        <w:t xml:space="preserve">hallituksen varapuheenjohtajalle 3 500 euroa kuukaudessa ja </w:t>
      </w:r>
    </w:p>
    <w:p w:rsidR="00C92378" w:rsidRDefault="00C92378" w:rsidP="00C92378">
      <w:pPr>
        <w:pStyle w:val="ListParagraph"/>
        <w:numPr>
          <w:ilvl w:val="0"/>
          <w:numId w:val="1"/>
        </w:numPr>
      </w:pPr>
      <w:r>
        <w:t xml:space="preserve">hallituksen puheenjohtajalle 5 500 euroa kuukaudessa. </w:t>
      </w:r>
    </w:p>
    <w:p w:rsidR="00C92378" w:rsidRDefault="00C92378" w:rsidP="00C92378">
      <w:r>
        <w:t>Lisäksi kokouspalkkiona on maksetaan:</w:t>
      </w:r>
    </w:p>
    <w:p w:rsidR="00C92378" w:rsidRDefault="00C92378" w:rsidP="00C92378">
      <w:pPr>
        <w:pStyle w:val="ListParagraph"/>
        <w:numPr>
          <w:ilvl w:val="0"/>
          <w:numId w:val="1"/>
        </w:numPr>
      </w:pPr>
      <w:r>
        <w:t xml:space="preserve"> hallituksen valiokuntien puheenjohtajille 1 000 euroa valiokunnan kokoukselta ja </w:t>
      </w:r>
    </w:p>
    <w:p w:rsidR="00C92378" w:rsidRDefault="00C92378" w:rsidP="00C92378">
      <w:pPr>
        <w:pStyle w:val="ListParagraph"/>
        <w:numPr>
          <w:ilvl w:val="0"/>
          <w:numId w:val="1"/>
        </w:numPr>
      </w:pPr>
      <w:r>
        <w:t xml:space="preserve">muuten kullekin hallituksen jäsenelle 500 euroa hallituksen kokoukselta ja hallituksen valiokunnan kokoukselta. </w:t>
      </w:r>
    </w:p>
    <w:p w:rsidR="00C92378" w:rsidRDefault="00C92378" w:rsidP="00C92378">
      <w:r>
        <w:t>Lisäksi tavanomaiset ja kohtuulliset hallitustyöskentelystä aiheutuvat kustannukset korvataan laskua vastaan.</w:t>
      </w:r>
    </w:p>
    <w:p w:rsidR="00C92378" w:rsidRPr="00C92378" w:rsidRDefault="00C92378" w:rsidP="00C92378">
      <w:r>
        <w:t xml:space="preserve">Yhtiön hallituksen jäsenet eivät ole mukana yhtiön toimivan johdon tai henkilöstön palkitsemisjärjestelmissä eikä Yhtiö ole myöntänyt optioita eikä osakepalkkioita hallitustyöskentelystä. </w:t>
      </w:r>
    </w:p>
    <w:p w:rsidR="00C92378" w:rsidRPr="00C92378" w:rsidRDefault="00D205B1">
      <w:pPr>
        <w:rPr>
          <w:b/>
        </w:rPr>
      </w:pPr>
      <w:r>
        <w:rPr>
          <w:b/>
        </w:rPr>
        <w:t>T</w:t>
      </w:r>
      <w:r w:rsidRPr="00C92378">
        <w:rPr>
          <w:b/>
        </w:rPr>
        <w:t>oimitusjohtajan palkitseminen</w:t>
      </w:r>
    </w:p>
    <w:p w:rsidR="00DD68AA" w:rsidRDefault="00DD68AA" w:rsidP="00DD68AA">
      <w:r>
        <w:t xml:space="preserve">Toimitusjohtajan palkitsemista arvioidaan kokonaisuutena ja se </w:t>
      </w:r>
      <w:bookmarkStart w:id="1" w:name="_Hlk61533165"/>
      <w:r>
        <w:t xml:space="preserve">muodostuu kiinteistä ja muuttuvista osuuksista. </w:t>
      </w:r>
    </w:p>
    <w:p w:rsidR="00DD68AA" w:rsidRDefault="00DD68AA" w:rsidP="00DD68AA">
      <w:r>
        <w:t>Kiinteisiin palkitsemisen osiin luetaan toimitusjohtajalle toimitusjohtajasopimuksen mukaisesti maksettava kiinteä kuukausipalkka. Mahdolliset luontaisedut ovat osa kiinteää kuukauspalkkaa.</w:t>
      </w:r>
    </w:p>
    <w:p w:rsidR="00DD68AA" w:rsidRDefault="00DD68AA" w:rsidP="00DD68AA">
      <w:r>
        <w:t xml:space="preserve">Toimitusjohtajan kiinteä kuukausipalkka on </w:t>
      </w:r>
      <w:r w:rsidR="00D41364">
        <w:t>28 060</w:t>
      </w:r>
      <w:r>
        <w:t xml:space="preserve"> euroa kuukaudessa.</w:t>
      </w:r>
    </w:p>
    <w:p w:rsidR="00DD68AA" w:rsidRDefault="00DD68AA" w:rsidP="00DD68AA">
      <w:r>
        <w:t>Palkitsemisen muuttuvat osat koostuvat lyhyen tähtäimen kannustinjärjestelmän mukaisesta, rahana maksettavasta bonuspalkkiosta sekä pitkän tähtäimen kannustinjärjestelmän mukaisista osake- ja/tai optiopalkkioista sekä mahdollisista rahaosuuksista.</w:t>
      </w:r>
    </w:p>
    <w:bookmarkEnd w:id="1"/>
    <w:p w:rsidR="00C92378" w:rsidRDefault="00DD68AA" w:rsidP="00DD68AA">
      <w:r>
        <w:t xml:space="preserve">Yhtiön lyhyen tähtäimen kannustinjärjestelmässä toimitusjohtajalle maksettavan bonuspalkkion ansaintakriteerinä on konsernin liikevaihdon kasvu. </w:t>
      </w:r>
      <w:r w:rsidR="00D9216A" w:rsidRPr="00D9216A">
        <w:t xml:space="preserve">Bonuspalkkiota alkaa kertyä liikevaihdon ylittäessä asetetun minimitason ja saavuttaa 100% tavoitetason asetetun liikevaihtotavoitteen täyttyessä, jolloin toimitusjohtajalle maksetaan vuositasolla bonuksena 40 prosenttia hänen vuositason kiinteästä palkastaan. </w:t>
      </w:r>
      <w:bookmarkStart w:id="2" w:name="_Hlk63172806"/>
      <w:r w:rsidR="00D9216A" w:rsidRPr="00D9216A">
        <w:t xml:space="preserve">Vähimmäistason ja </w:t>
      </w:r>
      <w:r w:rsidR="005B244A">
        <w:t xml:space="preserve">tavoitetason </w:t>
      </w:r>
      <w:r w:rsidR="00D9216A" w:rsidRPr="00D9216A">
        <w:t xml:space="preserve">välillä bonuspalkkio määräytyy lineaarisesti 0-100% </w:t>
      </w:r>
      <w:r w:rsidR="005B244A">
        <w:t xml:space="preserve">välillä </w:t>
      </w:r>
      <w:r w:rsidR="00D9216A" w:rsidRPr="00D9216A">
        <w:t xml:space="preserve">toteuman </w:t>
      </w:r>
      <w:r w:rsidR="005B244A">
        <w:t>mukaisesti</w:t>
      </w:r>
      <w:bookmarkEnd w:id="2"/>
      <w:r w:rsidR="00D9216A" w:rsidRPr="00D9216A">
        <w:t>. Liikevaihtotavoitteen ylittyessä bonuspalkkion määrä kasvaa siten, että jokaisesta liikevaihtotavoitteen ylittävästä eurosta 30% käytetään toimitusjohtajan ja yhtiön muun henkilöstön bonuspalkkioihin sosiaalikuluineen. Toimitusjohtajan bonuspalkkion vuotuinen maksimimäärä on 120 prosenttia hänen vuositason kiinteästä palkastaan. Bonuspalkkiokriteerien toteutumista arvioidaan ja mahdolliset palkkiot maksetaan kaksi kertaa vuodessa.</w:t>
      </w:r>
    </w:p>
    <w:p w:rsidR="00417541" w:rsidRDefault="00417541" w:rsidP="00417541">
      <w:r>
        <w:t>Yhtiöllä on voimassa kaksi pitkän tähtäimen kannustinjärjestelmää: optio-ohjelma 2016 sekä osakepalkkio-ohjelma 2019.</w:t>
      </w:r>
    </w:p>
    <w:p w:rsidR="00417541" w:rsidRDefault="00417541" w:rsidP="00417541">
      <w:r>
        <w:lastRenderedPageBreak/>
        <w:t>Optio-ohjelmassa 2016 toimitusjohtajalle on myönnetty 568 941 osake-optiota, joista kukin oikeuttaa merkitsemään yhden (1) yhtiön uuden osakkeen tai sen hallussa olevan osakkeen. Optio-oikeuksilla merkittävien osakkeiden merkintäaika on 19.12.2019–31.12.2022 ja merkintähinta on 4,84 euroa.</w:t>
      </w:r>
    </w:p>
    <w:p w:rsidR="00417541" w:rsidRDefault="00417541" w:rsidP="00417541">
      <w:r>
        <w:t>Osakepalkkio-ohjelma 2019 ehtojen mukaan toimitusjohtajalla on oikeus enintään 100 000 yhtiön osakkeen arvoa vastaavaan palkkioon. Palkkiojärjestelmässä on yksi, vuodet 2019-2021 kattava ansaintajakso. Järjestelmän mukainen palkkio on sidottu Qt Group Oyj:n liikevaihdon määrään vuonna 2021. Palkkio alkaa kertyä vuoden 2021 liikevaihdon ylittäessä 80 miljoonaa euroa ja kasvaa lineaarisesti enimmäistasoon, joka saavutetaan 120 miljoonan liikevaihdolla. Järjestelmän mukaiset palkkiot maksetaan vuoden 2021 tilinpäätöksen vahvistamisen jälkeen osakkeiden ja rahan yhdistelmänä siten, että rahana maksetaan määrä, jolla katetaan palkkiosta aiheutuvat verot ja muut soveltuvan lainsäädännön mukaiset maksut ja loppuosa palkkiosta maksetaan saajalle osakkeina. Palkkiona maksettuihin osakkeisiin ei liity mitään luovutus- tms. rajoituksia.</w:t>
      </w:r>
    </w:p>
    <w:p w:rsidR="00417541" w:rsidRDefault="00417541" w:rsidP="00417541">
      <w:r>
        <w:t>Toimitusjohtaja voidaan yhtiön toimesta irtisanoa kuuden (6) kuukauden irtisanomisajalla.</w:t>
      </w:r>
    </w:p>
    <w:p w:rsidR="00417541" w:rsidRPr="00A77D2E" w:rsidRDefault="00417541" w:rsidP="00417541">
      <w:r>
        <w:t>Toimitusjohtajasopimuksen päättyessä irtisanomiseen yhtiön puolelta toimitusjohtajalle maksetaan irtisanomisajan palkan lisäksi erokorvaus, joka määrältään vastaa toimitusjohtajan kahdentoista (12) kuukauden palkkaa. Toimitusjohtajan eläkeikä on lain mukainen eikä toimitusjohtajalla ole yhtiön puolelta erillistä lisäeläkesopimusta.</w:t>
      </w:r>
    </w:p>
    <w:p w:rsidR="00C92378" w:rsidRDefault="00D205B1">
      <w:pPr>
        <w:rPr>
          <w:b/>
        </w:rPr>
      </w:pPr>
      <w:r>
        <w:rPr>
          <w:b/>
        </w:rPr>
        <w:t xml:space="preserve">Muun </w:t>
      </w:r>
      <w:r w:rsidRPr="00C92378">
        <w:rPr>
          <w:b/>
        </w:rPr>
        <w:t>johtoryhmän palkitseminen</w:t>
      </w:r>
    </w:p>
    <w:p w:rsidR="00391C02" w:rsidRDefault="00391C02" w:rsidP="002168C6">
      <w:r>
        <w:t>Qt Group Oyj:ssä on konsernin johtoryhmä, johon kuuluu toimitusjohtajan lisäksi seitsemän (7) eri vastuualueiden johtajaa.</w:t>
      </w:r>
    </w:p>
    <w:p w:rsidR="00391C02" w:rsidRDefault="00A07CA7" w:rsidP="002168C6">
      <w:r>
        <w:t>Hallituksen p</w:t>
      </w:r>
      <w:r w:rsidR="00391C02" w:rsidRPr="00391C02">
        <w:t>alkitsemis- ja nimitysvaliokunta valmistelee muun johtoryhmän palkat, palkkiot ja muut edut yhdessä toimitusjohtajan kanssa. Valmistelussa käytetään tarpeen mukaan ulkopuolisia asiantuntijoita ja markkinaselvityksiä.</w:t>
      </w:r>
    </w:p>
    <w:p w:rsidR="00391C02" w:rsidRDefault="00391C02" w:rsidP="00391C02">
      <w:r>
        <w:t xml:space="preserve">Samoin kuin toimitusjohtajalla, myös muun johtoryhmän palkitseminen muodostuu kiinteistä ja muuttuvista osuuksista. </w:t>
      </w:r>
    </w:p>
    <w:p w:rsidR="00391C02" w:rsidRDefault="00391C02" w:rsidP="00391C02">
      <w:r>
        <w:t>Kiinteisiin palkitsemisen osiin luetaan kullekin johtoryhmän jäsenelle johtajasopimuksen mukaisesti maksettava kiinteä kuukausipalkka. Mahdolliset luontaisedut ovat osa kiinteää kuukauspalkkaa.</w:t>
      </w:r>
    </w:p>
    <w:p w:rsidR="00391C02" w:rsidRDefault="00391C02" w:rsidP="00391C02">
      <w:r>
        <w:t>Palkitsemisen muuttuvat osat koostuvat lyhyen tähtäimen kannustinjärjestelmän mukaisesta, rahana maksettavasta bonuspalkkiosta sekä pitkän tähtäimen kannustinjärjestelmän mukaisista osake- ja/tai optiopalkkioista sekä mahdollisista rahaosuuksista.</w:t>
      </w:r>
    </w:p>
    <w:p w:rsidR="002168C6" w:rsidRDefault="00391C02" w:rsidP="002168C6">
      <w:r w:rsidRPr="00391C02">
        <w:t xml:space="preserve">Yhtiön lyhyen tähtäimen kannustinjärjestelmässä </w:t>
      </w:r>
      <w:r>
        <w:t>m</w:t>
      </w:r>
      <w:r w:rsidR="002168C6">
        <w:t>uun johtoryhmän ansaintakriteerit ja ehdot ovat muuten yhtäläiset toimitusjohtajan kanssa, mutta bonuspalkkion määrä tavoitetasolla vaihtelee 30-44 prosentin välillä vuositason peruspalkasta.</w:t>
      </w:r>
      <w:r w:rsidR="00C3577F">
        <w:t xml:space="preserve"> </w:t>
      </w:r>
      <w:r w:rsidR="002168C6">
        <w:t xml:space="preserve">Maksimibonus on kolminkertainen tavoitetason määrästä kuten toimitusjohtajalla. </w:t>
      </w:r>
    </w:p>
    <w:p w:rsidR="00C3577F" w:rsidRDefault="00C3577F" w:rsidP="002168C6">
      <w:r>
        <w:t xml:space="preserve">Toimitusjohtajan tavoin muuta johtoryhmää koskee </w:t>
      </w:r>
      <w:r w:rsidRPr="00C3577F">
        <w:t>kaksi pitkän tähtäimen kannustinjärjestelmää: optio-ohjelma 2016 sekä osakepalkkio-ohjelma 2019.</w:t>
      </w:r>
    </w:p>
    <w:p w:rsidR="002168C6" w:rsidRDefault="002168C6" w:rsidP="002168C6">
      <w:r>
        <w:t>Optio-ohjelman 2016 mukaan muun johtoryhmän jäsenill</w:t>
      </w:r>
      <w:r w:rsidR="0081574D">
        <w:t>e on myönnetty</w:t>
      </w:r>
      <w:r>
        <w:t xml:space="preserve"> yhteensä </w:t>
      </w:r>
      <w:r w:rsidRPr="00276C01">
        <w:t>4</w:t>
      </w:r>
      <w:r w:rsidR="00230351" w:rsidRPr="00276C01">
        <w:t>1</w:t>
      </w:r>
      <w:r w:rsidR="00276C01" w:rsidRPr="00276C01">
        <w:t>3 776</w:t>
      </w:r>
      <w:r>
        <w:t xml:space="preserve"> osake-optiota, joista kukin oikeuttaa merkitsemään yhden (1) yhtiön uuden osakkeen tai sen hallussa olevan osakkeen vastaavin ehdoin kuin yhtiön toimitusjohtaja.</w:t>
      </w:r>
      <w:r w:rsidR="0085690F">
        <w:t xml:space="preserve"> Edellä sanotusta määrästä</w:t>
      </w:r>
      <w:r w:rsidR="0081574D">
        <w:t xml:space="preserve"> muulla johtoryhmällä on </w:t>
      </w:r>
      <w:r w:rsidR="0085690F">
        <w:t xml:space="preserve">tilikauden 2020 päättyessä käyttämättä vielä yhteensä </w:t>
      </w:r>
      <w:r w:rsidR="00276C01">
        <w:t>63 725</w:t>
      </w:r>
      <w:r w:rsidR="0085690F">
        <w:t xml:space="preserve"> optio-oikeutta.</w:t>
      </w:r>
    </w:p>
    <w:p w:rsidR="002168C6" w:rsidRDefault="002168C6" w:rsidP="002168C6">
      <w:r>
        <w:lastRenderedPageBreak/>
        <w:t xml:space="preserve">Osakepalkkio-ohjelma 2019 ehtojen mukaan muulla johtoryhmällä on oikeus yhteensä enintään </w:t>
      </w:r>
      <w:r w:rsidRPr="00D05661">
        <w:t>1</w:t>
      </w:r>
      <w:r w:rsidR="00D9216A" w:rsidRPr="00D05661">
        <w:t>0</w:t>
      </w:r>
      <w:r w:rsidRPr="00D05661">
        <w:t>2 000 yhtiön osakkeen arvoa vastaavaan palkkioon samoin ehdoin kuin yhtiön toimitusjohtajalla.</w:t>
      </w:r>
      <w:r>
        <w:t xml:space="preserve"> </w:t>
      </w:r>
    </w:p>
    <w:p w:rsidR="002168C6" w:rsidRDefault="002168C6" w:rsidP="002168C6">
      <w:r>
        <w:t>Muun johtoryhmän jäsenten eläkeikä on lain mukainen eikä kenellekään ole yhtiön puolelta otettu erillistä lisäeläkettä.</w:t>
      </w:r>
    </w:p>
    <w:p w:rsidR="00D05661" w:rsidRDefault="00D852F0" w:rsidP="002168C6">
      <w:r>
        <w:t>Tilikauden 2020 aikana muulle johtoryhmälle maksettiin yhteensä palkkioina seuraavasti</w:t>
      </w:r>
      <w:r w:rsidR="00251347">
        <w:t>:</w:t>
      </w:r>
    </w:p>
    <w:tbl>
      <w:tblPr>
        <w:tblStyle w:val="GridTable5Dark-Accent6"/>
        <w:tblW w:w="9497" w:type="dxa"/>
        <w:tblLook w:val="04A0" w:firstRow="1" w:lastRow="0" w:firstColumn="1" w:lastColumn="0" w:noHBand="0" w:noVBand="1"/>
      </w:tblPr>
      <w:tblGrid>
        <w:gridCol w:w="1716"/>
        <w:gridCol w:w="2041"/>
        <w:gridCol w:w="2087"/>
        <w:gridCol w:w="2089"/>
        <w:gridCol w:w="1564"/>
      </w:tblGrid>
      <w:tr w:rsidR="00D852F0" w:rsidRPr="00251347" w:rsidTr="00495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shd w:val="clear" w:color="auto" w:fill="C5E0B3" w:themeFill="accent6" w:themeFillTint="66"/>
          </w:tcPr>
          <w:p w:rsidR="00D852F0" w:rsidRPr="00251347" w:rsidRDefault="00D852F0" w:rsidP="00D852F0">
            <w:pPr>
              <w:autoSpaceDE w:val="0"/>
              <w:autoSpaceDN w:val="0"/>
              <w:adjustRightInd w:val="0"/>
              <w:rPr>
                <w:rFonts w:ascii="ArialMT" w:eastAsia="SimSun" w:hAnsi="ArialMT" w:cs="ArialMT"/>
                <w:b w:val="0"/>
                <w:color w:val="3F3F3F"/>
                <w:sz w:val="18"/>
                <w:szCs w:val="18"/>
                <w:lang w:eastAsia="fi-FI"/>
              </w:rPr>
            </w:pPr>
            <w:r w:rsidRPr="00251347">
              <w:rPr>
                <w:rFonts w:ascii="ArialMT" w:hAnsi="ArialMT" w:cs="ArialMT"/>
                <w:color w:val="3F3F3F"/>
                <w:sz w:val="18"/>
                <w:szCs w:val="18"/>
                <w:lang w:eastAsia="fi-FI"/>
              </w:rPr>
              <w:t>Nimi</w:t>
            </w:r>
          </w:p>
        </w:tc>
        <w:tc>
          <w:tcPr>
            <w:tcW w:w="2041" w:type="dxa"/>
            <w:shd w:val="clear" w:color="auto" w:fill="C5E0B3" w:themeFill="accent6" w:themeFillTint="66"/>
          </w:tcPr>
          <w:p w:rsidR="00D852F0" w:rsidRPr="00251347" w:rsidRDefault="00D852F0" w:rsidP="00D852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MT" w:eastAsia="SimSun" w:hAnsi="ArialMT" w:cs="ArialMT"/>
                <w:b w:val="0"/>
                <w:color w:val="3F3F3F"/>
                <w:sz w:val="18"/>
                <w:szCs w:val="18"/>
                <w:lang w:eastAsia="fi-FI"/>
              </w:rPr>
            </w:pPr>
            <w:r w:rsidRPr="00251347">
              <w:rPr>
                <w:rFonts w:ascii="ArialMT" w:hAnsi="ArialMT" w:cs="ArialMT"/>
                <w:color w:val="3F3F3F"/>
                <w:sz w:val="18"/>
                <w:szCs w:val="18"/>
                <w:lang w:eastAsia="fi-FI"/>
              </w:rPr>
              <w:t>Kiinteä palkka ja luontaisedut (EUR)</w:t>
            </w:r>
          </w:p>
        </w:tc>
        <w:tc>
          <w:tcPr>
            <w:tcW w:w="2087" w:type="dxa"/>
            <w:shd w:val="clear" w:color="auto" w:fill="C5E0B3" w:themeFill="accent6" w:themeFillTint="66"/>
          </w:tcPr>
          <w:p w:rsidR="00D852F0" w:rsidRPr="00251347" w:rsidRDefault="00D852F0" w:rsidP="00D852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MT" w:eastAsia="SimSun" w:hAnsi="ArialMT" w:cs="ArialMT"/>
                <w:b w:val="0"/>
                <w:color w:val="3F3F3F"/>
                <w:sz w:val="18"/>
                <w:szCs w:val="18"/>
                <w:lang w:eastAsia="fi-FI"/>
              </w:rPr>
            </w:pPr>
            <w:r w:rsidRPr="00251347">
              <w:rPr>
                <w:rFonts w:ascii="ArialMT" w:hAnsi="ArialMT" w:cs="ArialMT"/>
                <w:color w:val="3F3F3F"/>
                <w:sz w:val="18"/>
                <w:szCs w:val="18"/>
                <w:lang w:eastAsia="fi-FI"/>
              </w:rPr>
              <w:t>Lyhyen aikaväli</w:t>
            </w:r>
            <w:r w:rsidR="00251347">
              <w:rPr>
                <w:rFonts w:ascii="ArialMT" w:hAnsi="ArialMT" w:cs="ArialMT"/>
                <w:color w:val="3F3F3F"/>
                <w:sz w:val="18"/>
                <w:szCs w:val="18"/>
                <w:lang w:eastAsia="fi-FI"/>
              </w:rPr>
              <w:t>n</w:t>
            </w:r>
            <w:r w:rsidRPr="00251347">
              <w:rPr>
                <w:rFonts w:ascii="ArialMT" w:hAnsi="ArialMT" w:cs="ArialMT"/>
                <w:color w:val="3F3F3F"/>
                <w:sz w:val="18"/>
                <w:szCs w:val="18"/>
                <w:lang w:eastAsia="fi-FI"/>
              </w:rPr>
              <w:t xml:space="preserve"> kannustinpalkkiot (EUR)</w:t>
            </w:r>
          </w:p>
        </w:tc>
        <w:tc>
          <w:tcPr>
            <w:tcW w:w="2089" w:type="dxa"/>
            <w:shd w:val="clear" w:color="auto" w:fill="C5E0B3" w:themeFill="accent6" w:themeFillTint="66"/>
          </w:tcPr>
          <w:p w:rsidR="00D852F0" w:rsidRPr="00251347" w:rsidRDefault="00D852F0" w:rsidP="00D852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MT" w:eastAsia="SimSun" w:hAnsi="ArialMT" w:cs="ArialMT"/>
                <w:b w:val="0"/>
                <w:color w:val="3F3F3F"/>
                <w:sz w:val="18"/>
                <w:szCs w:val="18"/>
                <w:lang w:eastAsia="fi-FI"/>
              </w:rPr>
            </w:pPr>
            <w:r w:rsidRPr="00251347">
              <w:rPr>
                <w:rFonts w:ascii="ArialMT" w:hAnsi="ArialMT" w:cs="ArialMT"/>
                <w:color w:val="3F3F3F"/>
                <w:sz w:val="18"/>
                <w:szCs w:val="18"/>
                <w:lang w:eastAsia="fi-FI"/>
              </w:rPr>
              <w:t>Pitkän aikavälin kannustinpalkkiot (EUR)</w:t>
            </w:r>
          </w:p>
        </w:tc>
        <w:tc>
          <w:tcPr>
            <w:tcW w:w="1564" w:type="dxa"/>
            <w:shd w:val="clear" w:color="auto" w:fill="C5E0B3" w:themeFill="accent6" w:themeFillTint="66"/>
          </w:tcPr>
          <w:p w:rsidR="00D852F0" w:rsidRPr="00251347" w:rsidRDefault="00D852F0" w:rsidP="00D852F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MT" w:eastAsia="SimSun" w:hAnsi="ArialMT" w:cs="ArialMT"/>
                <w:b w:val="0"/>
                <w:color w:val="3F3F3F"/>
                <w:sz w:val="18"/>
                <w:szCs w:val="18"/>
                <w:lang w:eastAsia="fi-FI"/>
              </w:rPr>
            </w:pPr>
            <w:r w:rsidRPr="00251347">
              <w:rPr>
                <w:rFonts w:ascii="ArialMT" w:hAnsi="ArialMT" w:cs="ArialMT"/>
                <w:color w:val="3F3F3F"/>
                <w:sz w:val="18"/>
                <w:szCs w:val="18"/>
                <w:lang w:eastAsia="fi-FI"/>
              </w:rPr>
              <w:t>Yhteensä (EUR)</w:t>
            </w:r>
          </w:p>
        </w:tc>
      </w:tr>
      <w:tr w:rsidR="00D852F0" w:rsidRPr="00251347" w:rsidTr="00495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shd w:val="clear" w:color="auto" w:fill="C5E0B3" w:themeFill="accent6" w:themeFillTint="66"/>
          </w:tcPr>
          <w:p w:rsidR="00D852F0" w:rsidRPr="00251347" w:rsidRDefault="00E168EB" w:rsidP="00D852F0">
            <w:pPr>
              <w:autoSpaceDE w:val="0"/>
              <w:autoSpaceDN w:val="0"/>
              <w:adjustRightInd w:val="0"/>
              <w:rPr>
                <w:rFonts w:ascii="ArialMT" w:eastAsia="SimSun" w:hAnsi="ArialMT" w:cs="ArialMT"/>
                <w:color w:val="3F3F3F"/>
                <w:sz w:val="18"/>
                <w:szCs w:val="18"/>
                <w:lang w:eastAsia="fi-FI"/>
              </w:rPr>
            </w:pPr>
            <w:bookmarkStart w:id="3" w:name="_Hlk63185380"/>
            <w:r w:rsidRPr="00251347">
              <w:rPr>
                <w:rFonts w:ascii="ArialMT" w:hAnsi="ArialMT" w:cs="ArialMT"/>
                <w:color w:val="3F3F3F"/>
                <w:sz w:val="18"/>
                <w:szCs w:val="18"/>
                <w:lang w:eastAsia="fi-FI"/>
              </w:rPr>
              <w:t>muu johtoryhmä (8 henkilöä)*</w:t>
            </w:r>
          </w:p>
        </w:tc>
        <w:tc>
          <w:tcPr>
            <w:tcW w:w="2041" w:type="dxa"/>
          </w:tcPr>
          <w:p w:rsidR="00D852F0" w:rsidRPr="00251347" w:rsidRDefault="004B3004" w:rsidP="00D852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T" w:eastAsia="SimSun" w:hAnsi="ArialMT" w:cs="ArialMT"/>
                <w:color w:val="3F3F3F"/>
                <w:sz w:val="18"/>
                <w:szCs w:val="18"/>
                <w:lang w:eastAsia="fi-FI"/>
              </w:rPr>
            </w:pPr>
            <w:r w:rsidRPr="00251347">
              <w:rPr>
                <w:rFonts w:ascii="ArialMT" w:hAnsi="ArialMT" w:cs="ArialMT"/>
                <w:color w:val="3F3F3F"/>
                <w:sz w:val="18"/>
                <w:szCs w:val="18"/>
                <w:lang w:eastAsia="fi-FI"/>
              </w:rPr>
              <w:t>854 096</w:t>
            </w:r>
            <w:r w:rsidR="00D852F0" w:rsidRPr="00251347" w:rsidDel="00AA22FA">
              <w:rPr>
                <w:rFonts w:ascii="ArialMT" w:hAnsi="ArialMT" w:cs="ArialMT"/>
                <w:color w:val="3F3F3F"/>
                <w:sz w:val="18"/>
                <w:szCs w:val="18"/>
                <w:lang w:eastAsia="fi-FI"/>
              </w:rPr>
              <w:t xml:space="preserve"> </w:t>
            </w:r>
          </w:p>
        </w:tc>
        <w:tc>
          <w:tcPr>
            <w:tcW w:w="2087" w:type="dxa"/>
          </w:tcPr>
          <w:p w:rsidR="00D852F0" w:rsidRPr="00251347" w:rsidRDefault="0085690F" w:rsidP="00D852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T" w:eastAsia="SimSun" w:hAnsi="ArialMT" w:cs="ArialMT"/>
                <w:color w:val="3F3F3F"/>
                <w:sz w:val="18"/>
                <w:szCs w:val="18"/>
                <w:lang w:eastAsia="fi-FI"/>
              </w:rPr>
            </w:pPr>
            <w:r w:rsidRPr="00251347">
              <w:rPr>
                <w:rFonts w:ascii="ArialMT" w:eastAsia="SimSun" w:hAnsi="ArialMT" w:cs="ArialMT"/>
                <w:color w:val="3F3F3F"/>
                <w:sz w:val="18"/>
                <w:szCs w:val="18"/>
                <w:lang w:eastAsia="fi-FI"/>
              </w:rPr>
              <w:t>360 873</w:t>
            </w:r>
          </w:p>
        </w:tc>
        <w:tc>
          <w:tcPr>
            <w:tcW w:w="2089" w:type="dxa"/>
          </w:tcPr>
          <w:p w:rsidR="00D852F0" w:rsidRPr="00251347" w:rsidRDefault="004B3004" w:rsidP="00D852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T" w:eastAsia="SimSun" w:hAnsi="ArialMT" w:cs="ArialMT"/>
                <w:color w:val="3F3F3F"/>
                <w:sz w:val="18"/>
                <w:szCs w:val="18"/>
                <w:lang w:eastAsia="fi-FI"/>
              </w:rPr>
            </w:pPr>
            <w:r w:rsidRPr="00251347">
              <w:rPr>
                <w:rFonts w:ascii="ArialMT" w:eastAsia="SimSun" w:hAnsi="ArialMT" w:cs="ArialMT"/>
                <w:color w:val="3F3F3F"/>
                <w:sz w:val="18"/>
                <w:szCs w:val="18"/>
                <w:lang w:eastAsia="fi-FI"/>
              </w:rPr>
              <w:t>7 683 057</w:t>
            </w:r>
          </w:p>
        </w:tc>
        <w:tc>
          <w:tcPr>
            <w:tcW w:w="1564" w:type="dxa"/>
          </w:tcPr>
          <w:p w:rsidR="00D852F0" w:rsidRPr="00251347" w:rsidRDefault="004B3004" w:rsidP="002513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MT" w:eastAsia="SimSun" w:hAnsi="ArialMT" w:cs="ArialMT"/>
                <w:color w:val="3F3F3F"/>
                <w:sz w:val="18"/>
                <w:szCs w:val="18"/>
                <w:lang w:eastAsia="fi-FI"/>
              </w:rPr>
            </w:pPr>
            <w:r w:rsidRPr="00251347">
              <w:rPr>
                <w:rFonts w:ascii="ArialMT" w:eastAsia="SimSun" w:hAnsi="ArialMT" w:cs="ArialMT"/>
                <w:color w:val="3F3F3F"/>
                <w:sz w:val="18"/>
                <w:szCs w:val="18"/>
                <w:lang w:eastAsia="fi-FI"/>
              </w:rPr>
              <w:t>8 898 026</w:t>
            </w:r>
          </w:p>
        </w:tc>
      </w:tr>
    </w:tbl>
    <w:p w:rsidR="00E168EB" w:rsidRDefault="00E168EB" w:rsidP="00E168EB">
      <w:pPr>
        <w:pStyle w:val="ListParagraph"/>
      </w:pPr>
      <w:bookmarkStart w:id="4" w:name="_Hlk63175571"/>
      <w:bookmarkEnd w:id="3"/>
      <w:r>
        <w:t>* raport</w:t>
      </w:r>
      <w:r w:rsidR="00495EC9">
        <w:t>issa</w:t>
      </w:r>
      <w:r>
        <w:t xml:space="preserve"> on mukana sekä talousjohtaja Mika Harjuaholle 1.1.2020-</w:t>
      </w:r>
      <w:r w:rsidR="00D41364">
        <w:t>29</w:t>
      </w:r>
      <w:r>
        <w:t>.</w:t>
      </w:r>
      <w:r w:rsidR="00D41364">
        <w:t>2</w:t>
      </w:r>
      <w:r>
        <w:t xml:space="preserve">.2020 että uudelle talousjohtajalle Jouni Lintuselle </w:t>
      </w:r>
      <w:r w:rsidR="00D41364">
        <w:t>8.6</w:t>
      </w:r>
      <w:r>
        <w:t>.2020-31.12.2020 maksetut palkkiot.</w:t>
      </w:r>
    </w:p>
    <w:bookmarkEnd w:id="4"/>
    <w:p w:rsidR="00D852F0" w:rsidRPr="002168C6" w:rsidRDefault="00D852F0" w:rsidP="002168C6"/>
    <w:sectPr w:rsidR="00D852F0" w:rsidRPr="00216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4A1"/>
    <w:multiLevelType w:val="hybridMultilevel"/>
    <w:tmpl w:val="33A23CC4"/>
    <w:lvl w:ilvl="0" w:tplc="69F2FD2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6C4F28"/>
    <w:multiLevelType w:val="hybridMultilevel"/>
    <w:tmpl w:val="C2608FA0"/>
    <w:lvl w:ilvl="0" w:tplc="88E2DD0C">
      <w:start w:val="327"/>
      <w:numFmt w:val="bullet"/>
      <w:lvlText w:val=""/>
      <w:lvlJc w:val="left"/>
      <w:pPr>
        <w:ind w:left="1069" w:hanging="360"/>
      </w:pPr>
      <w:rPr>
        <w:rFonts w:ascii="Symbol" w:eastAsiaTheme="minorHAnsi" w:hAnsi="Symbol" w:cstheme="minorBid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 w15:restartNumberingAfterBreak="0">
    <w:nsid w:val="442336AC"/>
    <w:multiLevelType w:val="hybridMultilevel"/>
    <w:tmpl w:val="75582026"/>
    <w:lvl w:ilvl="0" w:tplc="370E6998">
      <w:start w:val="32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447564"/>
    <w:multiLevelType w:val="hybridMultilevel"/>
    <w:tmpl w:val="DBE099FC"/>
    <w:lvl w:ilvl="0" w:tplc="7FE27C7A">
      <w:start w:val="327"/>
      <w:numFmt w:val="bullet"/>
      <w:lvlText w:val=""/>
      <w:lvlJc w:val="left"/>
      <w:pPr>
        <w:ind w:left="1660" w:hanging="360"/>
      </w:pPr>
      <w:rPr>
        <w:rFonts w:ascii="Symbol" w:eastAsiaTheme="minorHAnsi" w:hAnsi="Symbol" w:cstheme="minorBid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4" w15:restartNumberingAfterBreak="0">
    <w:nsid w:val="52E55550"/>
    <w:multiLevelType w:val="hybridMultilevel"/>
    <w:tmpl w:val="81FE5880"/>
    <w:lvl w:ilvl="0" w:tplc="E0EC64B2">
      <w:start w:val="327"/>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6F"/>
    <w:rsid w:val="002168C6"/>
    <w:rsid w:val="00230351"/>
    <w:rsid w:val="00251347"/>
    <w:rsid w:val="00276C01"/>
    <w:rsid w:val="00391C02"/>
    <w:rsid w:val="00417541"/>
    <w:rsid w:val="00495EC9"/>
    <w:rsid w:val="004B14D0"/>
    <w:rsid w:val="004B3004"/>
    <w:rsid w:val="004D3FCE"/>
    <w:rsid w:val="00584FDF"/>
    <w:rsid w:val="005B244A"/>
    <w:rsid w:val="006A0A85"/>
    <w:rsid w:val="0081574D"/>
    <w:rsid w:val="0085690F"/>
    <w:rsid w:val="00A07CA7"/>
    <w:rsid w:val="00A2536F"/>
    <w:rsid w:val="00A77D2E"/>
    <w:rsid w:val="00C17586"/>
    <w:rsid w:val="00C3577F"/>
    <w:rsid w:val="00C92378"/>
    <w:rsid w:val="00D05661"/>
    <w:rsid w:val="00D205B1"/>
    <w:rsid w:val="00D41364"/>
    <w:rsid w:val="00D852F0"/>
    <w:rsid w:val="00D9216A"/>
    <w:rsid w:val="00DD68AA"/>
    <w:rsid w:val="00E168EB"/>
    <w:rsid w:val="00EE3C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44F0"/>
  <w15:chartTrackingRefBased/>
  <w15:docId w15:val="{56C1062A-D57B-403B-BDAF-AAF8FC86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78"/>
    <w:pPr>
      <w:ind w:left="720"/>
      <w:contextualSpacing/>
    </w:pPr>
  </w:style>
  <w:style w:type="table" w:customStyle="1" w:styleId="TableGrid1">
    <w:name w:val="Table Grid1"/>
    <w:basedOn w:val="TableNormal"/>
    <w:next w:val="TableGrid"/>
    <w:rsid w:val="00D852F0"/>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D056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D0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Pälsi</dc:creator>
  <cp:keywords/>
  <dc:description/>
  <cp:lastModifiedBy>Mika Pälsi</cp:lastModifiedBy>
  <cp:revision>3</cp:revision>
  <dcterms:created xsi:type="dcterms:W3CDTF">2021-03-19T15:06:00Z</dcterms:created>
  <dcterms:modified xsi:type="dcterms:W3CDTF">2021-03-19T15:08:00Z</dcterms:modified>
</cp:coreProperties>
</file>