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FDF1F" w14:textId="77777777" w:rsidR="00D40527" w:rsidRDefault="00D40527" w:rsidP="00EB386D">
      <w:pPr>
        <w:pStyle w:val="Title"/>
      </w:pPr>
    </w:p>
    <w:p w14:paraId="35B25595" w14:textId="13707E2E" w:rsidR="00D33455" w:rsidRPr="00E7791E" w:rsidRDefault="002F6146" w:rsidP="00EB386D">
      <w:pPr>
        <w:pStyle w:val="Title"/>
        <w:rPr>
          <w:sz w:val="44"/>
          <w:szCs w:val="44"/>
        </w:rPr>
      </w:pPr>
      <w:r w:rsidRPr="00E7791E">
        <w:rPr>
          <w:sz w:val="44"/>
          <w:szCs w:val="44"/>
        </w:rPr>
        <w:t>R</w:t>
      </w:r>
      <w:r w:rsidR="00481E76" w:rsidRPr="00E7791E">
        <w:rPr>
          <w:sz w:val="44"/>
          <w:szCs w:val="44"/>
        </w:rPr>
        <w:t xml:space="preserve">ecovery Audit Contract (RAC) </w:t>
      </w:r>
      <w:r w:rsidR="00425948">
        <w:rPr>
          <w:sz w:val="44"/>
          <w:szCs w:val="44"/>
        </w:rPr>
        <w:t xml:space="preserve">Medical </w:t>
      </w:r>
      <w:r w:rsidR="00481E76" w:rsidRPr="00E7791E">
        <w:rPr>
          <w:sz w:val="44"/>
          <w:szCs w:val="44"/>
        </w:rPr>
        <w:t>Records Request Limits</w:t>
      </w:r>
      <w:r w:rsidR="004C1639" w:rsidRPr="00E7791E">
        <w:rPr>
          <w:sz w:val="44"/>
          <w:szCs w:val="44"/>
        </w:rPr>
        <w:t xml:space="preserve"> for Complex Review</w:t>
      </w:r>
      <w:r w:rsidR="00E7791E" w:rsidRPr="00E7791E">
        <w:rPr>
          <w:sz w:val="44"/>
          <w:szCs w:val="44"/>
        </w:rPr>
        <w:t>s</w:t>
      </w:r>
    </w:p>
    <w:p w14:paraId="158A0C33" w14:textId="213D8680" w:rsidR="00481E76" w:rsidRPr="00E7791E" w:rsidRDefault="00481E76" w:rsidP="00481E76">
      <w:pPr>
        <w:pStyle w:val="Subtitle"/>
        <w:rPr>
          <w:sz w:val="20"/>
          <w:szCs w:val="20"/>
        </w:rPr>
      </w:pPr>
      <w:r w:rsidRPr="00E7791E">
        <w:rPr>
          <w:sz w:val="20"/>
          <w:szCs w:val="20"/>
        </w:rPr>
        <w:t xml:space="preserve">As of </w:t>
      </w:r>
      <w:r w:rsidR="00E7791E" w:rsidRPr="00E7791E">
        <w:rPr>
          <w:sz w:val="20"/>
          <w:szCs w:val="20"/>
        </w:rPr>
        <w:t>July 1</w:t>
      </w:r>
      <w:r w:rsidR="00E7791E" w:rsidRPr="00E7791E">
        <w:rPr>
          <w:sz w:val="20"/>
          <w:szCs w:val="20"/>
          <w:vertAlign w:val="superscript"/>
        </w:rPr>
        <w:t>st</w:t>
      </w:r>
      <w:r w:rsidR="00E7791E" w:rsidRPr="00E7791E">
        <w:rPr>
          <w:sz w:val="20"/>
          <w:szCs w:val="20"/>
        </w:rPr>
        <w:t>, 2021</w:t>
      </w:r>
    </w:p>
    <w:p w14:paraId="6C02B68C" w14:textId="2E3AF946" w:rsidR="00DC4588" w:rsidRDefault="00481E76" w:rsidP="00DC4588">
      <w:pPr>
        <w:pStyle w:val="BodyText"/>
        <w:jc w:val="both"/>
      </w:pPr>
      <w:r>
        <w:t xml:space="preserve">The </w:t>
      </w:r>
      <w:r w:rsidR="00E7791E">
        <w:t xml:space="preserve">Colorado </w:t>
      </w:r>
      <w:r>
        <w:t>Department of Health Care Policy and Financing (</w:t>
      </w:r>
      <w:r w:rsidR="00E7791E">
        <w:t xml:space="preserve">The </w:t>
      </w:r>
      <w:r>
        <w:t>Department) and the Recovery Audit Contract</w:t>
      </w:r>
      <w:r w:rsidR="00E7791E">
        <w:t xml:space="preserve"> (RAC) vendor</w:t>
      </w:r>
      <w:r>
        <w:t>, Health Management Systems</w:t>
      </w:r>
      <w:r w:rsidR="00E7791E">
        <w:t>, Inc</w:t>
      </w:r>
      <w:r>
        <w:t xml:space="preserve"> (HMS), has completed its analysis of hospital sizes and Health First Colorado</w:t>
      </w:r>
      <w:r w:rsidR="00C13FA6">
        <w:t xml:space="preserve"> (Colorado’s Medicaid Program)</w:t>
      </w:r>
      <w:r>
        <w:t xml:space="preserve"> reimbursement amounts from the previous State Fiscal Year (July 1, </w:t>
      </w:r>
      <w:r w:rsidR="00E7791E">
        <w:t>2020</w:t>
      </w:r>
      <w:r>
        <w:t xml:space="preserve"> through June 30, </w:t>
      </w:r>
      <w:r w:rsidR="006F5911">
        <w:t>202</w:t>
      </w:r>
      <w:r w:rsidR="00E7791E">
        <w:t>1</w:t>
      </w:r>
      <w:r>
        <w:t xml:space="preserve">). This information has been used to determine the </w:t>
      </w:r>
      <w:r w:rsidR="00E7791E">
        <w:t>number</w:t>
      </w:r>
      <w:r>
        <w:t xml:space="preserve"> of </w:t>
      </w:r>
      <w:r w:rsidR="00E7791E">
        <w:t xml:space="preserve">medical </w:t>
      </w:r>
      <w:r>
        <w:t>records</w:t>
      </w:r>
      <w:r w:rsidR="00E7791E">
        <w:t xml:space="preserve"> (claims)</w:t>
      </w:r>
      <w:r>
        <w:t xml:space="preserve"> that can be requested by HMS </w:t>
      </w:r>
      <w:r w:rsidR="00E7791E">
        <w:t xml:space="preserve">at one time. </w:t>
      </w:r>
    </w:p>
    <w:p w14:paraId="08C5FA1E" w14:textId="77777777" w:rsidR="00E7791E" w:rsidRDefault="003F7175" w:rsidP="00DC4588">
      <w:pPr>
        <w:pStyle w:val="BodyText"/>
        <w:jc w:val="both"/>
      </w:pPr>
      <w:r>
        <w:t>The</w:t>
      </w:r>
      <w:r w:rsidR="00E7791E">
        <w:t xml:space="preserve"> following</w:t>
      </w:r>
      <w:r>
        <w:t xml:space="preserve"> tiers are used only for </w:t>
      </w:r>
      <w:r w:rsidR="00DC4588">
        <w:t xml:space="preserve">complex </w:t>
      </w:r>
      <w:r w:rsidR="00E7791E">
        <w:t xml:space="preserve">medical record </w:t>
      </w:r>
      <w:r w:rsidR="00DC4588">
        <w:t xml:space="preserve">reviews that requires human review of supporting documentation </w:t>
      </w:r>
      <w:r w:rsidR="00E97119">
        <w:t xml:space="preserve">such as medical records </w:t>
      </w:r>
      <w:r w:rsidR="00DC4588">
        <w:t xml:space="preserve">to evaluate the validity of claims submitted by a facility. These tiers do not apply to automated reviews that utilize data mining algorithms to identify overpaid claims using Health First Colorado paid claims data. </w:t>
      </w:r>
    </w:p>
    <w:p w14:paraId="19F1AEF2" w14:textId="5AF8DDBC" w:rsidR="00481E76" w:rsidRDefault="00481E76" w:rsidP="00481E76">
      <w:pPr>
        <w:pStyle w:val="BodyText"/>
        <w:jc w:val="both"/>
      </w:pPr>
      <w:r>
        <w:t>The four separate tiers are calculated by reimbursement amount to ensure that there is not an administrative burden for Health First Colorado providers in Colorado when asked to provide documentation</w:t>
      </w:r>
      <w:r w:rsidR="00E7791E">
        <w:t xml:space="preserve"> to substantiate claims</w:t>
      </w:r>
      <w:r>
        <w:t xml:space="preserve">. </w:t>
      </w:r>
    </w:p>
    <w:p w14:paraId="67D12E83" w14:textId="52C072BC" w:rsidR="00481E76" w:rsidRDefault="00481E76" w:rsidP="00481E76">
      <w:pPr>
        <w:pStyle w:val="BodyText"/>
        <w:jc w:val="both"/>
      </w:pPr>
      <w:r>
        <w:t>The Department has determined the following maximum</w:t>
      </w:r>
      <w:r w:rsidR="00E7791E">
        <w:t xml:space="preserve"> record request</w:t>
      </w:r>
      <w:r>
        <w:t xml:space="preserve"> limits</w:t>
      </w:r>
      <w:r w:rsidR="00E7791E">
        <w:t xml:space="preserve"> (claims limits)</w:t>
      </w:r>
      <w:r>
        <w:t xml:space="preserve"> for</w:t>
      </w:r>
      <w:r w:rsidR="00E7791E">
        <w:t xml:space="preserve"> facilities</w:t>
      </w:r>
      <w:r>
        <w:t xml:space="preserve">. These amounts are based on Medicaid payments to the provider in the full state fiscal year </w:t>
      </w:r>
      <w:r w:rsidR="006F5911">
        <w:t>202</w:t>
      </w:r>
      <w:r w:rsidR="00E7791E">
        <w:t>1</w:t>
      </w:r>
      <w:r>
        <w:t>:</w:t>
      </w:r>
    </w:p>
    <w:tbl>
      <w:tblPr>
        <w:tblpPr w:leftFromText="180" w:rightFromText="180" w:vertAnchor="text" w:horzAnchor="margin" w:tblpXSpec="center" w:tblpY="43"/>
        <w:tblW w:w="8977" w:type="dxa"/>
        <w:tblLook w:val="04A0" w:firstRow="1" w:lastRow="0" w:firstColumn="1" w:lastColumn="0" w:noHBand="0" w:noVBand="1"/>
      </w:tblPr>
      <w:tblGrid>
        <w:gridCol w:w="1777"/>
        <w:gridCol w:w="4680"/>
        <w:gridCol w:w="2520"/>
      </w:tblGrid>
      <w:tr w:rsidR="00481E76" w:rsidRPr="00481E76" w14:paraId="2D4A37E0" w14:textId="77777777" w:rsidTr="00FF0196">
        <w:trPr>
          <w:trHeight w:val="679"/>
        </w:trPr>
        <w:tc>
          <w:tcPr>
            <w:tcW w:w="1777" w:type="dxa"/>
            <w:tcBorders>
              <w:top w:val="single" w:sz="18" w:space="0" w:color="auto"/>
              <w:left w:val="single" w:sz="18" w:space="0" w:color="auto"/>
              <w:bottom w:val="single" w:sz="18" w:space="0" w:color="auto"/>
              <w:right w:val="single" w:sz="6" w:space="0" w:color="auto"/>
            </w:tcBorders>
            <w:shd w:val="clear" w:color="auto" w:fill="auto"/>
            <w:vAlign w:val="center"/>
            <w:hideMark/>
          </w:tcPr>
          <w:p w14:paraId="5EF2450F" w14:textId="77777777" w:rsidR="00481E76" w:rsidRPr="00481E76" w:rsidRDefault="00481E76" w:rsidP="00481E76">
            <w:pPr>
              <w:pStyle w:val="BodyText"/>
              <w:spacing w:after="0"/>
              <w:jc w:val="center"/>
              <w:rPr>
                <w:b/>
                <w:bCs/>
              </w:rPr>
            </w:pPr>
            <w:r w:rsidRPr="00481E76">
              <w:rPr>
                <w:b/>
                <w:bCs/>
              </w:rPr>
              <w:t>Tier Number</w:t>
            </w:r>
          </w:p>
        </w:tc>
        <w:tc>
          <w:tcPr>
            <w:tcW w:w="4680" w:type="dxa"/>
            <w:tcBorders>
              <w:top w:val="single" w:sz="18" w:space="0" w:color="auto"/>
              <w:left w:val="single" w:sz="6" w:space="0" w:color="auto"/>
              <w:bottom w:val="single" w:sz="18" w:space="0" w:color="auto"/>
              <w:right w:val="single" w:sz="6" w:space="0" w:color="auto"/>
            </w:tcBorders>
            <w:shd w:val="clear" w:color="auto" w:fill="auto"/>
            <w:vAlign w:val="center"/>
            <w:hideMark/>
          </w:tcPr>
          <w:p w14:paraId="0F5038C1" w14:textId="5EC2CD9E" w:rsidR="00481E76" w:rsidRPr="00481E76" w:rsidRDefault="00481E76" w:rsidP="00481E76">
            <w:pPr>
              <w:pStyle w:val="BodyText"/>
              <w:spacing w:after="0"/>
              <w:jc w:val="center"/>
              <w:rPr>
                <w:b/>
                <w:bCs/>
              </w:rPr>
            </w:pPr>
            <w:r w:rsidRPr="00481E76">
              <w:rPr>
                <w:b/>
                <w:bCs/>
              </w:rPr>
              <w:t xml:space="preserve">Medicaid Reimbursement amount for State Fiscal Year </w:t>
            </w:r>
            <w:r w:rsidR="00425948">
              <w:rPr>
                <w:b/>
                <w:bCs/>
              </w:rPr>
              <w:t>2020-2021</w:t>
            </w:r>
          </w:p>
        </w:tc>
        <w:tc>
          <w:tcPr>
            <w:tcW w:w="2520" w:type="dxa"/>
            <w:tcBorders>
              <w:top w:val="single" w:sz="18" w:space="0" w:color="auto"/>
              <w:left w:val="single" w:sz="6" w:space="0" w:color="auto"/>
              <w:bottom w:val="single" w:sz="18" w:space="0" w:color="auto"/>
              <w:right w:val="single" w:sz="18" w:space="0" w:color="auto"/>
            </w:tcBorders>
            <w:shd w:val="clear" w:color="auto" w:fill="auto"/>
            <w:vAlign w:val="center"/>
            <w:hideMark/>
          </w:tcPr>
          <w:p w14:paraId="139DF199" w14:textId="77777777" w:rsidR="00481E76" w:rsidRPr="00481E76" w:rsidRDefault="00481E76" w:rsidP="00481E76">
            <w:pPr>
              <w:pStyle w:val="BodyText"/>
              <w:spacing w:after="0"/>
              <w:jc w:val="center"/>
              <w:rPr>
                <w:b/>
                <w:bCs/>
              </w:rPr>
            </w:pPr>
            <w:r w:rsidRPr="00481E76">
              <w:rPr>
                <w:b/>
                <w:bCs/>
              </w:rPr>
              <w:t>Max</w:t>
            </w:r>
            <w:r>
              <w:rPr>
                <w:b/>
                <w:bCs/>
              </w:rPr>
              <w:t>imum</w:t>
            </w:r>
            <w:r w:rsidRPr="00481E76">
              <w:rPr>
                <w:b/>
                <w:bCs/>
              </w:rPr>
              <w:t xml:space="preserve"> Records per Request</w:t>
            </w:r>
          </w:p>
        </w:tc>
      </w:tr>
      <w:tr w:rsidR="00481E76" w:rsidRPr="00481E76" w14:paraId="081A2749" w14:textId="77777777" w:rsidTr="00481E76">
        <w:trPr>
          <w:trHeight w:val="60"/>
        </w:trPr>
        <w:tc>
          <w:tcPr>
            <w:tcW w:w="1777" w:type="dxa"/>
            <w:tcBorders>
              <w:top w:val="single" w:sz="18" w:space="0" w:color="auto"/>
              <w:left w:val="single" w:sz="18" w:space="0" w:color="auto"/>
              <w:bottom w:val="single" w:sz="6" w:space="0" w:color="auto"/>
              <w:right w:val="single" w:sz="6" w:space="0" w:color="auto"/>
            </w:tcBorders>
            <w:shd w:val="clear" w:color="auto" w:fill="E5DFEC" w:themeFill="accent4" w:themeFillTint="33"/>
            <w:noWrap/>
            <w:vAlign w:val="bottom"/>
            <w:hideMark/>
          </w:tcPr>
          <w:p w14:paraId="134E562F" w14:textId="77777777" w:rsidR="00481E76" w:rsidRPr="00481E76" w:rsidRDefault="00481E76" w:rsidP="00481E76">
            <w:pPr>
              <w:pStyle w:val="BodyText"/>
              <w:spacing w:after="0"/>
              <w:jc w:val="center"/>
            </w:pPr>
            <w:r w:rsidRPr="00481E76">
              <w:t>1</w:t>
            </w:r>
          </w:p>
        </w:tc>
        <w:tc>
          <w:tcPr>
            <w:tcW w:w="4680" w:type="dxa"/>
            <w:tcBorders>
              <w:top w:val="single" w:sz="18" w:space="0" w:color="auto"/>
              <w:left w:val="single" w:sz="6" w:space="0" w:color="auto"/>
              <w:bottom w:val="single" w:sz="6" w:space="0" w:color="auto"/>
              <w:right w:val="single" w:sz="6" w:space="0" w:color="auto"/>
            </w:tcBorders>
            <w:shd w:val="clear" w:color="auto" w:fill="E5DFEC" w:themeFill="accent4" w:themeFillTint="33"/>
            <w:noWrap/>
            <w:vAlign w:val="bottom"/>
            <w:hideMark/>
          </w:tcPr>
          <w:p w14:paraId="3F4CF954" w14:textId="77777777" w:rsidR="00481E76" w:rsidRPr="00481E76" w:rsidRDefault="00481E76" w:rsidP="00481E76">
            <w:pPr>
              <w:pStyle w:val="BodyText"/>
              <w:spacing w:after="0"/>
              <w:jc w:val="center"/>
            </w:pPr>
            <w:r w:rsidRPr="00481E76">
              <w:t>$40 Million +</w:t>
            </w:r>
          </w:p>
        </w:tc>
        <w:tc>
          <w:tcPr>
            <w:tcW w:w="2520" w:type="dxa"/>
            <w:tcBorders>
              <w:top w:val="single" w:sz="18" w:space="0" w:color="auto"/>
              <w:left w:val="single" w:sz="6" w:space="0" w:color="auto"/>
              <w:bottom w:val="single" w:sz="6" w:space="0" w:color="auto"/>
              <w:right w:val="single" w:sz="18" w:space="0" w:color="auto"/>
            </w:tcBorders>
            <w:shd w:val="clear" w:color="auto" w:fill="E5DFEC" w:themeFill="accent4" w:themeFillTint="33"/>
            <w:noWrap/>
            <w:vAlign w:val="bottom"/>
            <w:hideMark/>
          </w:tcPr>
          <w:p w14:paraId="0705E476" w14:textId="77777777" w:rsidR="00481E76" w:rsidRPr="00481E76" w:rsidRDefault="00481E76" w:rsidP="00481E76">
            <w:pPr>
              <w:pStyle w:val="BodyText"/>
              <w:spacing w:after="0"/>
              <w:jc w:val="center"/>
            </w:pPr>
            <w:r w:rsidRPr="00481E76">
              <w:t>400</w:t>
            </w:r>
          </w:p>
        </w:tc>
      </w:tr>
      <w:tr w:rsidR="00481E76" w:rsidRPr="00481E76" w14:paraId="4C4EFB5F" w14:textId="77777777" w:rsidTr="00481E76">
        <w:trPr>
          <w:trHeight w:val="70"/>
        </w:trPr>
        <w:tc>
          <w:tcPr>
            <w:tcW w:w="1777" w:type="dxa"/>
            <w:tcBorders>
              <w:top w:val="single" w:sz="6" w:space="0" w:color="auto"/>
              <w:left w:val="single" w:sz="18" w:space="0" w:color="auto"/>
              <w:bottom w:val="single" w:sz="6" w:space="0" w:color="auto"/>
              <w:right w:val="single" w:sz="6" w:space="0" w:color="auto"/>
            </w:tcBorders>
            <w:shd w:val="clear" w:color="auto" w:fill="FDE9D9" w:themeFill="accent6" w:themeFillTint="33"/>
            <w:noWrap/>
            <w:vAlign w:val="bottom"/>
            <w:hideMark/>
          </w:tcPr>
          <w:p w14:paraId="6E61D9A2" w14:textId="77777777" w:rsidR="00481E76" w:rsidRPr="00481E76" w:rsidRDefault="00481E76" w:rsidP="00481E76">
            <w:pPr>
              <w:pStyle w:val="BodyText"/>
              <w:spacing w:after="0"/>
              <w:jc w:val="center"/>
            </w:pPr>
            <w:r w:rsidRPr="00481E76">
              <w:t>2</w:t>
            </w:r>
          </w:p>
        </w:tc>
        <w:tc>
          <w:tcPr>
            <w:tcW w:w="4680" w:type="dxa"/>
            <w:tcBorders>
              <w:top w:val="single" w:sz="6" w:space="0" w:color="auto"/>
              <w:left w:val="single" w:sz="6" w:space="0" w:color="auto"/>
              <w:bottom w:val="single" w:sz="6" w:space="0" w:color="auto"/>
              <w:right w:val="single" w:sz="6" w:space="0" w:color="auto"/>
            </w:tcBorders>
            <w:shd w:val="clear" w:color="auto" w:fill="FDE9D9" w:themeFill="accent6" w:themeFillTint="33"/>
            <w:noWrap/>
            <w:vAlign w:val="bottom"/>
            <w:hideMark/>
          </w:tcPr>
          <w:p w14:paraId="3AE70BF2" w14:textId="77777777" w:rsidR="00481E76" w:rsidRPr="00481E76" w:rsidRDefault="00481E76" w:rsidP="00481E76">
            <w:pPr>
              <w:pStyle w:val="BodyText"/>
              <w:spacing w:after="0"/>
              <w:jc w:val="center"/>
            </w:pPr>
            <w:r w:rsidRPr="00481E76">
              <w:t>$10-$40 Million</w:t>
            </w:r>
          </w:p>
        </w:tc>
        <w:tc>
          <w:tcPr>
            <w:tcW w:w="2520" w:type="dxa"/>
            <w:tcBorders>
              <w:top w:val="single" w:sz="6" w:space="0" w:color="auto"/>
              <w:left w:val="single" w:sz="6" w:space="0" w:color="auto"/>
              <w:bottom w:val="single" w:sz="6" w:space="0" w:color="auto"/>
              <w:right w:val="single" w:sz="18" w:space="0" w:color="auto"/>
            </w:tcBorders>
            <w:shd w:val="clear" w:color="auto" w:fill="FDE9D9" w:themeFill="accent6" w:themeFillTint="33"/>
            <w:noWrap/>
            <w:vAlign w:val="bottom"/>
            <w:hideMark/>
          </w:tcPr>
          <w:p w14:paraId="4CC21290" w14:textId="77777777" w:rsidR="00481E76" w:rsidRPr="00481E76" w:rsidRDefault="00481E76" w:rsidP="00481E76">
            <w:pPr>
              <w:pStyle w:val="BodyText"/>
              <w:spacing w:after="0"/>
              <w:jc w:val="center"/>
            </w:pPr>
            <w:r w:rsidRPr="00481E76">
              <w:t>200</w:t>
            </w:r>
          </w:p>
        </w:tc>
      </w:tr>
      <w:tr w:rsidR="00481E76" w:rsidRPr="00481E76" w14:paraId="1008C47C" w14:textId="77777777" w:rsidTr="00481E76">
        <w:trPr>
          <w:trHeight w:val="70"/>
        </w:trPr>
        <w:tc>
          <w:tcPr>
            <w:tcW w:w="1777" w:type="dxa"/>
            <w:tcBorders>
              <w:top w:val="single" w:sz="6" w:space="0" w:color="auto"/>
              <w:left w:val="single" w:sz="18" w:space="0" w:color="auto"/>
              <w:bottom w:val="single" w:sz="6" w:space="0" w:color="auto"/>
              <w:right w:val="single" w:sz="6" w:space="0" w:color="auto"/>
            </w:tcBorders>
            <w:shd w:val="clear" w:color="auto" w:fill="DAEEF3" w:themeFill="accent5" w:themeFillTint="33"/>
            <w:noWrap/>
            <w:vAlign w:val="bottom"/>
            <w:hideMark/>
          </w:tcPr>
          <w:p w14:paraId="0D0E5C48" w14:textId="77777777" w:rsidR="00481E76" w:rsidRPr="00481E76" w:rsidRDefault="00481E76" w:rsidP="00481E76">
            <w:pPr>
              <w:pStyle w:val="BodyText"/>
              <w:spacing w:after="0"/>
              <w:jc w:val="center"/>
            </w:pPr>
            <w:r w:rsidRPr="00481E76">
              <w:t>3</w:t>
            </w:r>
          </w:p>
        </w:tc>
        <w:tc>
          <w:tcPr>
            <w:tcW w:w="4680" w:type="dxa"/>
            <w:tcBorders>
              <w:top w:val="single" w:sz="6" w:space="0" w:color="auto"/>
              <w:left w:val="single" w:sz="6" w:space="0" w:color="auto"/>
              <w:bottom w:val="single" w:sz="6" w:space="0" w:color="auto"/>
              <w:right w:val="single" w:sz="6" w:space="0" w:color="auto"/>
            </w:tcBorders>
            <w:shd w:val="clear" w:color="auto" w:fill="DAEEF3" w:themeFill="accent5" w:themeFillTint="33"/>
            <w:noWrap/>
            <w:vAlign w:val="bottom"/>
            <w:hideMark/>
          </w:tcPr>
          <w:p w14:paraId="7AF6F7CA" w14:textId="77777777" w:rsidR="00481E76" w:rsidRPr="00481E76" w:rsidRDefault="00481E76" w:rsidP="00481E76">
            <w:pPr>
              <w:pStyle w:val="BodyText"/>
              <w:spacing w:after="0"/>
              <w:jc w:val="center"/>
            </w:pPr>
            <w:r w:rsidRPr="00481E76">
              <w:t>$1-$10 Million</w:t>
            </w:r>
          </w:p>
        </w:tc>
        <w:tc>
          <w:tcPr>
            <w:tcW w:w="2520" w:type="dxa"/>
            <w:tcBorders>
              <w:top w:val="single" w:sz="6" w:space="0" w:color="auto"/>
              <w:left w:val="single" w:sz="6" w:space="0" w:color="auto"/>
              <w:bottom w:val="single" w:sz="6" w:space="0" w:color="auto"/>
              <w:right w:val="single" w:sz="18" w:space="0" w:color="auto"/>
            </w:tcBorders>
            <w:shd w:val="clear" w:color="auto" w:fill="DAEEF3" w:themeFill="accent5" w:themeFillTint="33"/>
            <w:noWrap/>
            <w:vAlign w:val="bottom"/>
            <w:hideMark/>
          </w:tcPr>
          <w:p w14:paraId="6F8D0514" w14:textId="77777777" w:rsidR="00481E76" w:rsidRPr="00481E76" w:rsidRDefault="00481E76" w:rsidP="00481E76">
            <w:pPr>
              <w:pStyle w:val="BodyText"/>
              <w:spacing w:after="0"/>
              <w:jc w:val="center"/>
            </w:pPr>
            <w:r w:rsidRPr="00481E76">
              <w:t>100</w:t>
            </w:r>
          </w:p>
        </w:tc>
      </w:tr>
      <w:tr w:rsidR="00481E76" w:rsidRPr="00481E76" w14:paraId="2D2C7DD5" w14:textId="77777777" w:rsidTr="0096038A">
        <w:trPr>
          <w:trHeight w:val="70"/>
        </w:trPr>
        <w:tc>
          <w:tcPr>
            <w:tcW w:w="1777" w:type="dxa"/>
            <w:tcBorders>
              <w:top w:val="single" w:sz="6" w:space="0" w:color="auto"/>
              <w:left w:val="single" w:sz="18" w:space="0" w:color="auto"/>
              <w:bottom w:val="single" w:sz="18" w:space="0" w:color="auto"/>
              <w:right w:val="single" w:sz="6" w:space="0" w:color="auto"/>
            </w:tcBorders>
            <w:shd w:val="clear" w:color="auto" w:fill="C2D69B" w:themeFill="accent3" w:themeFillTint="99"/>
            <w:noWrap/>
            <w:vAlign w:val="bottom"/>
          </w:tcPr>
          <w:p w14:paraId="3B667209" w14:textId="77777777" w:rsidR="00481E76" w:rsidRPr="00481E76" w:rsidRDefault="00481E76" w:rsidP="00481E76">
            <w:pPr>
              <w:pStyle w:val="BodyText"/>
              <w:spacing w:after="0"/>
              <w:jc w:val="center"/>
            </w:pPr>
            <w:r w:rsidRPr="00481E76">
              <w:t>4</w:t>
            </w:r>
          </w:p>
        </w:tc>
        <w:tc>
          <w:tcPr>
            <w:tcW w:w="4680" w:type="dxa"/>
            <w:tcBorders>
              <w:top w:val="single" w:sz="6" w:space="0" w:color="auto"/>
              <w:left w:val="single" w:sz="6" w:space="0" w:color="auto"/>
              <w:bottom w:val="single" w:sz="18" w:space="0" w:color="auto"/>
              <w:right w:val="single" w:sz="6" w:space="0" w:color="auto"/>
            </w:tcBorders>
            <w:shd w:val="clear" w:color="auto" w:fill="C2D69B" w:themeFill="accent3" w:themeFillTint="99"/>
            <w:noWrap/>
            <w:vAlign w:val="bottom"/>
          </w:tcPr>
          <w:p w14:paraId="64318475" w14:textId="77777777" w:rsidR="00481E76" w:rsidRPr="00481E76" w:rsidRDefault="00481E76" w:rsidP="00481E76">
            <w:pPr>
              <w:pStyle w:val="BodyText"/>
              <w:spacing w:after="0"/>
              <w:jc w:val="center"/>
            </w:pPr>
            <w:r w:rsidRPr="00481E76">
              <w:t>Less than $1 Million</w:t>
            </w:r>
          </w:p>
        </w:tc>
        <w:tc>
          <w:tcPr>
            <w:tcW w:w="2520" w:type="dxa"/>
            <w:tcBorders>
              <w:top w:val="single" w:sz="6" w:space="0" w:color="auto"/>
              <w:left w:val="single" w:sz="6" w:space="0" w:color="auto"/>
              <w:bottom w:val="single" w:sz="18" w:space="0" w:color="auto"/>
              <w:right w:val="single" w:sz="18" w:space="0" w:color="auto"/>
            </w:tcBorders>
            <w:shd w:val="clear" w:color="auto" w:fill="C2D69B" w:themeFill="accent3" w:themeFillTint="99"/>
            <w:noWrap/>
            <w:vAlign w:val="bottom"/>
          </w:tcPr>
          <w:p w14:paraId="5AB35764" w14:textId="77777777" w:rsidR="00481E76" w:rsidRPr="00481E76" w:rsidRDefault="00481E76" w:rsidP="00481E76">
            <w:pPr>
              <w:pStyle w:val="BodyText"/>
              <w:spacing w:after="0"/>
              <w:jc w:val="center"/>
            </w:pPr>
            <w:r w:rsidRPr="00481E76">
              <w:t>50</w:t>
            </w:r>
          </w:p>
        </w:tc>
      </w:tr>
    </w:tbl>
    <w:p w14:paraId="1EE41A70" w14:textId="77777777" w:rsidR="00481E76" w:rsidRDefault="00481E76" w:rsidP="00481E76">
      <w:pPr>
        <w:pStyle w:val="BodyText"/>
        <w:spacing w:after="0"/>
      </w:pPr>
    </w:p>
    <w:p w14:paraId="2DDB40F6" w14:textId="77777777" w:rsidR="00E7791E" w:rsidRDefault="00E7791E" w:rsidP="00481E76">
      <w:pPr>
        <w:pStyle w:val="BodyText"/>
        <w:jc w:val="both"/>
      </w:pPr>
    </w:p>
    <w:p w14:paraId="7C09E58D" w14:textId="75E6F45C" w:rsidR="00E7791E" w:rsidRDefault="00E7791E" w:rsidP="00481E76">
      <w:pPr>
        <w:pStyle w:val="BodyText"/>
        <w:jc w:val="both"/>
      </w:pPr>
      <w:r>
        <w:lastRenderedPageBreak/>
        <w:t xml:space="preserve">Providers are also granted a rest period </w:t>
      </w:r>
      <w:r w:rsidR="00425948">
        <w:t xml:space="preserve">(60 days) </w:t>
      </w:r>
      <w:r>
        <w:t>in which HMS cannot ask for additional records from that service location</w:t>
      </w:r>
      <w:r w:rsidR="00425948">
        <w:t>.</w:t>
      </w:r>
      <w:r w:rsidR="00D77940">
        <w:t xml:space="preserve"> </w:t>
      </w:r>
      <w:r>
        <w:t>This includes the following timeline:</w:t>
      </w:r>
    </w:p>
    <w:p w14:paraId="2DC7C2CF" w14:textId="69B71CE7" w:rsidR="00E7791E" w:rsidRDefault="00891B35" w:rsidP="00891B35">
      <w:pPr>
        <w:pStyle w:val="BodyText"/>
        <w:numPr>
          <w:ilvl w:val="0"/>
          <w:numId w:val="15"/>
        </w:numPr>
        <w:jc w:val="both"/>
      </w:pPr>
      <w:r>
        <w:t>Day 1: Provider is mailed a Medical Records Request from HMS.</w:t>
      </w:r>
    </w:p>
    <w:p w14:paraId="30DCBA3D" w14:textId="770E7A89" w:rsidR="00891B35" w:rsidRDefault="00891B35" w:rsidP="00891B35">
      <w:pPr>
        <w:pStyle w:val="BodyText"/>
        <w:numPr>
          <w:ilvl w:val="0"/>
          <w:numId w:val="15"/>
        </w:numPr>
        <w:jc w:val="both"/>
      </w:pPr>
      <w:r>
        <w:t>Day 31: Provider can be in another audit; however, this excludes another Medical Records/Complex audit. Providers then have a 30-day rest period in between complex audits.</w:t>
      </w:r>
    </w:p>
    <w:p w14:paraId="017FC200" w14:textId="470A459C" w:rsidR="00891B35" w:rsidRDefault="00891B35" w:rsidP="00891B35">
      <w:pPr>
        <w:pStyle w:val="BodyText"/>
        <w:numPr>
          <w:ilvl w:val="0"/>
          <w:numId w:val="15"/>
        </w:numPr>
        <w:jc w:val="both"/>
      </w:pPr>
      <w:r>
        <w:t>Day 61: Providers rest period is now expired, and a new Complex audit/Medical Records request can be sent out to the specific provider (service location).</w:t>
      </w:r>
    </w:p>
    <w:p w14:paraId="06332D2B" w14:textId="77777777" w:rsidR="00481E76" w:rsidRDefault="00481E76" w:rsidP="00481E76">
      <w:pPr>
        <w:pStyle w:val="BodyText"/>
        <w:jc w:val="both"/>
      </w:pPr>
      <w:r>
        <w:t>The Department will determine groups after each full state fiscal year, when Health First Colorado reimbursement amounts become available. This information will be provided to the Colorado Hospital Association to disseminate to all its hospital members.</w:t>
      </w:r>
    </w:p>
    <w:p w14:paraId="0126DF8D" w14:textId="033A716B" w:rsidR="00481E76" w:rsidRDefault="00481E76" w:rsidP="00481E76">
      <w:pPr>
        <w:pStyle w:val="BodyText"/>
        <w:spacing w:after="0"/>
        <w:jc w:val="both"/>
      </w:pPr>
      <w:r>
        <w:t>For more RAC Program information go to:</w:t>
      </w:r>
    </w:p>
    <w:p w14:paraId="741DCB84" w14:textId="77777777" w:rsidR="0069654A" w:rsidRDefault="0069654A" w:rsidP="00481E76">
      <w:pPr>
        <w:pStyle w:val="BodyText"/>
        <w:spacing w:after="0"/>
        <w:jc w:val="both"/>
      </w:pPr>
    </w:p>
    <w:p w14:paraId="4B5AE316" w14:textId="77777777" w:rsidR="00481E76" w:rsidRDefault="00481E76" w:rsidP="00481E76">
      <w:pPr>
        <w:pStyle w:val="BodyText"/>
        <w:numPr>
          <w:ilvl w:val="0"/>
          <w:numId w:val="14"/>
        </w:numPr>
        <w:spacing w:after="0"/>
        <w:jc w:val="both"/>
      </w:pPr>
      <w:r>
        <w:t xml:space="preserve">Colorado Department of Health Care Policy and Financing </w:t>
      </w:r>
      <w:r w:rsidR="00DC4588">
        <w:t xml:space="preserve">RAC </w:t>
      </w:r>
      <w:r>
        <w:t xml:space="preserve">Program website – </w:t>
      </w:r>
      <w:hyperlink r:id="rId10" w:history="1">
        <w:r w:rsidRPr="000E0B4F">
          <w:rPr>
            <w:rStyle w:val="Hyperlink"/>
          </w:rPr>
          <w:t>https://www.colorado.gov/pacific/hcpf/recovery-audit-contractor-rac-program</w:t>
        </w:r>
      </w:hyperlink>
      <w:r>
        <w:t xml:space="preserve"> </w:t>
      </w:r>
    </w:p>
    <w:p w14:paraId="78C6AC0A" w14:textId="77777777" w:rsidR="00DC4588" w:rsidRDefault="00481E76" w:rsidP="00DC4588">
      <w:pPr>
        <w:pStyle w:val="BodyText"/>
        <w:numPr>
          <w:ilvl w:val="0"/>
          <w:numId w:val="14"/>
        </w:numPr>
        <w:spacing w:after="0"/>
        <w:jc w:val="both"/>
      </w:pPr>
      <w:r>
        <w:t>Health Management Systems, Inc. R</w:t>
      </w:r>
      <w:r w:rsidR="00DC4588">
        <w:t>AC</w:t>
      </w:r>
      <w:r>
        <w:t xml:space="preserve"> Website</w:t>
      </w:r>
      <w:r w:rsidR="00DC4588">
        <w:t xml:space="preserve"> –</w:t>
      </w:r>
    </w:p>
    <w:p w14:paraId="78C2FA42" w14:textId="77777777" w:rsidR="00481E76" w:rsidRPr="0096038A" w:rsidRDefault="007E7F95" w:rsidP="0096038A">
      <w:pPr>
        <w:pStyle w:val="BodyText"/>
        <w:spacing w:after="0"/>
        <w:ind w:left="720"/>
        <w:jc w:val="both"/>
        <w:rPr>
          <w:rStyle w:val="Hyperlink"/>
          <w:color w:val="auto"/>
          <w:u w:val="none"/>
        </w:rPr>
      </w:pPr>
      <w:hyperlink r:id="rId11" w:history="1">
        <w:r w:rsidR="00DC4588" w:rsidRPr="000E0B4F">
          <w:rPr>
            <w:rStyle w:val="Hyperlink"/>
          </w:rPr>
          <w:t>http://hms.com/us/co-providers/home/</w:t>
        </w:r>
      </w:hyperlink>
    </w:p>
    <w:p w14:paraId="6B07B547" w14:textId="77777777" w:rsidR="00DC4588" w:rsidRDefault="00DC4588" w:rsidP="0096038A">
      <w:pPr>
        <w:pStyle w:val="BodyText"/>
        <w:numPr>
          <w:ilvl w:val="0"/>
          <w:numId w:val="14"/>
        </w:numPr>
        <w:spacing w:after="0"/>
        <w:jc w:val="both"/>
      </w:pPr>
      <w:r>
        <w:t xml:space="preserve">Health First Colorado RAC Frequently Asked Questions – </w:t>
      </w:r>
    </w:p>
    <w:p w14:paraId="21C25603" w14:textId="77777777" w:rsidR="00DC4588" w:rsidRDefault="007E7F95" w:rsidP="0096038A">
      <w:pPr>
        <w:pStyle w:val="BodyText"/>
        <w:ind w:left="720"/>
        <w:jc w:val="both"/>
      </w:pPr>
      <w:hyperlink r:id="rId12" w:history="1">
        <w:r w:rsidR="00DC4588" w:rsidRPr="000E0B4F">
          <w:rPr>
            <w:rStyle w:val="Hyperlink"/>
          </w:rPr>
          <w:t>http://hms.com/wp-content/uploads/2017/07/CO-RAC-FAQs.pdf</w:t>
        </w:r>
      </w:hyperlink>
      <w:r w:rsidR="00DC4588">
        <w:t xml:space="preserve"> </w:t>
      </w:r>
    </w:p>
    <w:p w14:paraId="376A7640" w14:textId="77777777" w:rsidR="00481E76" w:rsidRDefault="00481E76" w:rsidP="00481E76">
      <w:pPr>
        <w:pStyle w:val="BodyText"/>
        <w:spacing w:after="0"/>
        <w:jc w:val="both"/>
      </w:pPr>
    </w:p>
    <w:p w14:paraId="0A4741D5" w14:textId="77777777" w:rsidR="00481E76" w:rsidRDefault="00481E76" w:rsidP="00481E76">
      <w:pPr>
        <w:pStyle w:val="BodyText"/>
        <w:spacing w:after="0"/>
        <w:jc w:val="both"/>
      </w:pPr>
    </w:p>
    <w:p w14:paraId="6AB52DEA" w14:textId="77777777" w:rsidR="005E0630" w:rsidRDefault="005E0630" w:rsidP="00481E76">
      <w:pPr>
        <w:pStyle w:val="BodyText"/>
        <w:spacing w:after="0"/>
        <w:jc w:val="both"/>
      </w:pPr>
    </w:p>
    <w:p w14:paraId="43AF6A49" w14:textId="4085A314" w:rsidR="005E0630" w:rsidRDefault="005E0630">
      <w:pPr>
        <w:rPr>
          <w:rFonts w:ascii="Tahoma" w:hAnsi="Tahoma"/>
          <w:b/>
          <w:bCs/>
        </w:rPr>
      </w:pPr>
    </w:p>
    <w:sectPr w:rsidR="005E0630" w:rsidSect="006C35A4">
      <w:headerReference w:type="default" r:id="rId13"/>
      <w:footerReference w:type="default" r:id="rId14"/>
      <w:headerReference w:type="first" r:id="rId15"/>
      <w:footerReference w:type="first" r:id="rId16"/>
      <w:pgSz w:w="12240" w:h="15840"/>
      <w:pgMar w:top="878" w:right="1800" w:bottom="72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B242B" w14:textId="77777777" w:rsidR="007E7F95" w:rsidRDefault="007E7F95" w:rsidP="00370CDA">
      <w:r>
        <w:separator/>
      </w:r>
    </w:p>
  </w:endnote>
  <w:endnote w:type="continuationSeparator" w:id="0">
    <w:p w14:paraId="5D3B5BB5" w14:textId="77777777" w:rsidR="007E7F95" w:rsidRDefault="007E7F95"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8C77E" w14:textId="77777777" w:rsidR="00BB0F07" w:rsidRPr="00D70A3E" w:rsidRDefault="00BB0F07" w:rsidP="00BB0F07">
    <w:pPr>
      <w:pStyle w:val="Footer"/>
    </w:pPr>
    <w:r w:rsidRPr="00D70A3E">
      <w:t>Our mission is to improve health care access and outcomes for the people we serve while demonstrating sound stewardship of financial resources.</w:t>
    </w:r>
  </w:p>
  <w:p w14:paraId="1189DB75" w14:textId="77777777" w:rsidR="005776FA" w:rsidRDefault="00BB0F07">
    <w:pPr>
      <w:pStyle w:val="Footer"/>
    </w:pPr>
    <w:r w:rsidRPr="00D70A3E">
      <w:t>www.colorado.gov/hcpf</w:t>
    </w:r>
    <w:r w:rsidR="005776FA">
      <w:rPr>
        <w:noProof/>
      </w:rPr>
      <w:drawing>
        <wp:anchor distT="0" distB="0" distL="114300" distR="114300" simplePos="0" relativeHeight="251697152" behindDoc="0" locked="1" layoutInCell="1" allowOverlap="1" wp14:anchorId="2B8E3733" wp14:editId="09E85840">
          <wp:simplePos x="0" y="0"/>
          <wp:positionH relativeFrom="rightMargin">
            <wp:posOffset>-257175</wp:posOffset>
          </wp:positionH>
          <wp:positionV relativeFrom="bottomMargin">
            <wp:posOffset>15240</wp:posOffset>
          </wp:positionV>
          <wp:extent cx="731520" cy="731520"/>
          <wp:effectExtent l="0" t="0" r="0" b="0"/>
          <wp:wrapNone/>
          <wp:docPr id="87" name="Picture 87"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195C" w14:textId="77777777" w:rsidR="006C35A4" w:rsidRPr="00D70A3E" w:rsidRDefault="006C35A4" w:rsidP="006C35A4">
    <w:pPr>
      <w:pStyle w:val="Footer"/>
    </w:pPr>
    <w:r w:rsidRPr="00D70A3E">
      <w:t>Our mission is to improve health care access and outcomes for the people we serve while demonstrating sound stewardship of financial resources.</w:t>
    </w:r>
  </w:p>
  <w:p w14:paraId="4C4A8C34" w14:textId="77777777" w:rsidR="006C35A4" w:rsidRDefault="006C35A4" w:rsidP="006C35A4">
    <w:pPr>
      <w:pStyle w:val="Footer"/>
    </w:pPr>
    <w:r w:rsidRPr="00D70A3E">
      <w:t>www.colorado.gov/hcpf</w:t>
    </w:r>
    <w:r>
      <w:rPr>
        <w:noProof/>
      </w:rPr>
      <w:drawing>
        <wp:anchor distT="0" distB="0" distL="114300" distR="114300" simplePos="0" relativeHeight="251688448" behindDoc="0" locked="1" layoutInCell="1" allowOverlap="1" wp14:anchorId="318E55FC" wp14:editId="3C856A02">
          <wp:simplePos x="0" y="0"/>
          <wp:positionH relativeFrom="rightMargin">
            <wp:posOffset>-257175</wp:posOffset>
          </wp:positionH>
          <wp:positionV relativeFrom="bottomMargin">
            <wp:posOffset>15240</wp:posOffset>
          </wp:positionV>
          <wp:extent cx="731520" cy="731520"/>
          <wp:effectExtent l="0" t="0" r="0" b="0"/>
          <wp:wrapNone/>
          <wp:docPr id="3" name="Picture 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31520" cy="731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B85A5" w14:textId="77777777" w:rsidR="007E7F95" w:rsidRDefault="007E7F95" w:rsidP="00370CDA">
      <w:r>
        <w:separator/>
      </w:r>
    </w:p>
  </w:footnote>
  <w:footnote w:type="continuationSeparator" w:id="0">
    <w:p w14:paraId="24217F4B" w14:textId="77777777" w:rsidR="007E7F95" w:rsidRDefault="007E7F95"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B93D" w14:textId="2D181C27" w:rsidR="00C919F2" w:rsidRPr="006C35A4" w:rsidRDefault="006C35A4">
    <w:pPr>
      <w:pStyle w:val="Header"/>
      <w:rPr>
        <w:rFonts w:cs="Tahoma"/>
        <w:b w:val="0"/>
        <w:szCs w:val="20"/>
      </w:rPr>
    </w:pPr>
    <w:r w:rsidRPr="006C35A4">
      <w:rPr>
        <w:rFonts w:cs="Tahoma"/>
        <w:b w:val="0"/>
        <w:szCs w:val="20"/>
      </w:rPr>
      <w:fldChar w:fldCharType="begin"/>
    </w:r>
    <w:r w:rsidRPr="006C35A4">
      <w:rPr>
        <w:rFonts w:cs="Tahoma"/>
        <w:b w:val="0"/>
        <w:szCs w:val="20"/>
      </w:rPr>
      <w:instrText xml:space="preserve"> TITLE  \* Caps  \* MERGEFORMAT </w:instrText>
    </w:r>
    <w:r w:rsidRPr="006C35A4">
      <w:rPr>
        <w:rFonts w:cs="Tahoma"/>
        <w:b w:val="0"/>
        <w:szCs w:val="20"/>
      </w:rPr>
      <w:fldChar w:fldCharType="separate"/>
    </w:r>
    <w:r w:rsidR="00481E76">
      <w:rPr>
        <w:rFonts w:cs="Tahoma"/>
        <w:b w:val="0"/>
        <w:szCs w:val="20"/>
      </w:rPr>
      <w:t xml:space="preserve">Recovery </w:t>
    </w:r>
    <w:r w:rsidR="00481E76" w:rsidRPr="00481E76">
      <w:rPr>
        <w:rFonts w:cs="Tahoma"/>
        <w:b w:val="0"/>
        <w:szCs w:val="20"/>
      </w:rPr>
      <w:t>Audit Contract (RAC) Records Request Maximum Limit</w:t>
    </w:r>
    <w:r w:rsidR="00481E76">
      <w:rPr>
        <w:rFonts w:cs="Tahoma"/>
        <w:b w:val="0"/>
        <w:szCs w:val="20"/>
      </w:rPr>
      <w:t>s</w:t>
    </w:r>
    <w:r w:rsidRPr="006C35A4">
      <w:rPr>
        <w:rFonts w:cs="Tahoma"/>
        <w:b w:val="0"/>
        <w:szCs w:val="20"/>
      </w:rPr>
      <w:fldChar w:fldCharType="end"/>
    </w:r>
    <w:r w:rsidR="00425948">
      <w:rPr>
        <w:rFonts w:cs="Tahoma"/>
        <w:b w:val="0"/>
        <w:szCs w:val="20"/>
      </w:rPr>
      <w:t xml:space="preserve"> Published December 2021</w:t>
    </w:r>
    <w:r w:rsidRPr="006C35A4">
      <w:rPr>
        <w:rFonts w:cs="Tahoma"/>
        <w:b w:val="0"/>
        <w:szCs w:val="20"/>
      </w:rPr>
      <w:tab/>
      <w:t xml:space="preserve">Page </w:t>
    </w:r>
    <w:r w:rsidRPr="006C35A4">
      <w:rPr>
        <w:rFonts w:cs="Tahoma"/>
        <w:b w:val="0"/>
        <w:szCs w:val="20"/>
      </w:rPr>
      <w:fldChar w:fldCharType="begin"/>
    </w:r>
    <w:r w:rsidRPr="006C35A4">
      <w:rPr>
        <w:rFonts w:cs="Tahoma"/>
        <w:b w:val="0"/>
        <w:szCs w:val="20"/>
      </w:rPr>
      <w:instrText xml:space="preserve"> PAGE  \* Arabic  \* MERGEFORMAT </w:instrText>
    </w:r>
    <w:r w:rsidRPr="006C35A4">
      <w:rPr>
        <w:rFonts w:cs="Tahoma"/>
        <w:b w:val="0"/>
        <w:szCs w:val="20"/>
      </w:rPr>
      <w:fldChar w:fldCharType="separate"/>
    </w:r>
    <w:r w:rsidR="00682636">
      <w:rPr>
        <w:rFonts w:cs="Tahoma"/>
        <w:b w:val="0"/>
        <w:noProof/>
        <w:szCs w:val="20"/>
      </w:rPr>
      <w:t>2</w:t>
    </w:r>
    <w:r w:rsidRPr="006C35A4">
      <w:rPr>
        <w:rFonts w:cs="Tahoma"/>
        <w:b w:val="0"/>
        <w:szCs w:val="20"/>
      </w:rPr>
      <w:fldChar w:fldCharType="end"/>
    </w:r>
    <w:r w:rsidRPr="006C35A4">
      <w:rPr>
        <w:rFonts w:cs="Tahoma"/>
        <w:b w:val="0"/>
        <w:szCs w:val="20"/>
      </w:rPr>
      <w:t xml:space="preserve"> of </w:t>
    </w:r>
    <w:r w:rsidRPr="006C35A4">
      <w:rPr>
        <w:rFonts w:cs="Tahoma"/>
        <w:b w:val="0"/>
        <w:szCs w:val="20"/>
      </w:rPr>
      <w:fldChar w:fldCharType="begin"/>
    </w:r>
    <w:r w:rsidRPr="006C35A4">
      <w:rPr>
        <w:rFonts w:cs="Tahoma"/>
        <w:b w:val="0"/>
        <w:szCs w:val="20"/>
      </w:rPr>
      <w:instrText xml:space="preserve"> NUMPAGES  \* Arabic  \* MERGEFORMAT </w:instrText>
    </w:r>
    <w:r w:rsidRPr="006C35A4">
      <w:rPr>
        <w:rFonts w:cs="Tahoma"/>
        <w:b w:val="0"/>
        <w:szCs w:val="20"/>
      </w:rPr>
      <w:fldChar w:fldCharType="separate"/>
    </w:r>
    <w:r w:rsidR="00682636">
      <w:rPr>
        <w:rFonts w:cs="Tahoma"/>
        <w:b w:val="0"/>
        <w:noProof/>
        <w:szCs w:val="20"/>
      </w:rPr>
      <w:t>2</w:t>
    </w:r>
    <w:r w:rsidRPr="006C35A4">
      <w:rPr>
        <w:rFonts w:cs="Tahoma"/>
        <w:b w:val="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A719F" w14:textId="1A6A383C" w:rsidR="005776FA" w:rsidRPr="006C35A4" w:rsidRDefault="00D40527" w:rsidP="006C35A4">
    <w:pPr>
      <w:pStyle w:val="Header"/>
      <w:pBdr>
        <w:bottom w:val="none" w:sz="0" w:space="0" w:color="auto"/>
      </w:pBdr>
    </w:pPr>
    <w:r>
      <w:rPr>
        <w:noProof/>
      </w:rPr>
      <w:drawing>
        <wp:anchor distT="0" distB="0" distL="114300" distR="114300" simplePos="0" relativeHeight="251699200" behindDoc="1" locked="0" layoutInCell="1" allowOverlap="1" wp14:anchorId="77FC1841" wp14:editId="28F0EEDF">
          <wp:simplePos x="0" y="0"/>
          <wp:positionH relativeFrom="page">
            <wp:posOffset>-15240</wp:posOffset>
          </wp:positionH>
          <wp:positionV relativeFrom="page">
            <wp:posOffset>-22860</wp:posOffset>
          </wp:positionV>
          <wp:extent cx="7799705" cy="3072130"/>
          <wp:effectExtent l="0" t="0" r="0" b="0"/>
          <wp:wrapNone/>
          <wp:docPr id="57" name="Picture 57" descr="Colorado Department of healthcare, policy and financing &#10;1570 Grant street Denver CO 80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PFLetterheadBack.png"/>
                  <pic:cNvPicPr/>
                </pic:nvPicPr>
                <pic:blipFill>
                  <a:blip r:embed="rId1"/>
                  <a:stretch>
                    <a:fillRect/>
                  </a:stretch>
                </pic:blipFill>
                <pic:spPr>
                  <a:xfrm>
                    <a:off x="0" y="0"/>
                    <a:ext cx="7799705" cy="30721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AEBFE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7EF0395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4D07A4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DFCD6F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636E86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E262B0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F28566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5628272"/>
    <w:lvl w:ilvl="0">
      <w:start w:val="1"/>
      <w:numFmt w:val="bullet"/>
      <w:pStyle w:val="ListBullet2"/>
      <w:lvlText w:val=""/>
      <w:lvlJc w:val="left"/>
      <w:pPr>
        <w:ind w:left="720" w:hanging="360"/>
      </w:pPr>
      <w:rPr>
        <w:rFonts w:ascii="Wingdings" w:hAnsi="Wingdings" w:hint="default"/>
      </w:rPr>
    </w:lvl>
  </w:abstractNum>
  <w:abstractNum w:abstractNumId="9" w15:restartNumberingAfterBreak="0">
    <w:nsid w:val="FFFFFF88"/>
    <w:multiLevelType w:val="singleLevel"/>
    <w:tmpl w:val="21668C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A2A6A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1AAC7B77"/>
    <w:multiLevelType w:val="hybridMultilevel"/>
    <w:tmpl w:val="CC5EC24A"/>
    <w:lvl w:ilvl="0" w:tplc="D916A0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11FEB"/>
    <w:multiLevelType w:val="hybridMultilevel"/>
    <w:tmpl w:val="7FE01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83E93"/>
    <w:multiLevelType w:val="hybridMultilevel"/>
    <w:tmpl w:val="BA1AF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DF57EE"/>
    <w:multiLevelType w:val="hybridMultilevel"/>
    <w:tmpl w:val="FD1CC3B0"/>
    <w:lvl w:ilvl="0" w:tplc="AB6E3462">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B86"/>
    <w:rsid w:val="00010F16"/>
    <w:rsid w:val="0001139B"/>
    <w:rsid w:val="000A14EB"/>
    <w:rsid w:val="000A623E"/>
    <w:rsid w:val="001013F4"/>
    <w:rsid w:val="0011302D"/>
    <w:rsid w:val="00122D76"/>
    <w:rsid w:val="00185852"/>
    <w:rsid w:val="00214687"/>
    <w:rsid w:val="002328C9"/>
    <w:rsid w:val="00247BC9"/>
    <w:rsid w:val="00265CAD"/>
    <w:rsid w:val="00283E9E"/>
    <w:rsid w:val="00296BE7"/>
    <w:rsid w:val="002A3DE1"/>
    <w:rsid w:val="002F6146"/>
    <w:rsid w:val="003571DE"/>
    <w:rsid w:val="00363A26"/>
    <w:rsid w:val="00366C54"/>
    <w:rsid w:val="00370CDA"/>
    <w:rsid w:val="00381EBC"/>
    <w:rsid w:val="00393494"/>
    <w:rsid w:val="003A52EE"/>
    <w:rsid w:val="003D1DE2"/>
    <w:rsid w:val="003E3E9C"/>
    <w:rsid w:val="003F7175"/>
    <w:rsid w:val="00425948"/>
    <w:rsid w:val="00437AFE"/>
    <w:rsid w:val="00453411"/>
    <w:rsid w:val="004569A4"/>
    <w:rsid w:val="004646B6"/>
    <w:rsid w:val="004748F7"/>
    <w:rsid w:val="00481E76"/>
    <w:rsid w:val="004B2915"/>
    <w:rsid w:val="004B4EC2"/>
    <w:rsid w:val="004B766C"/>
    <w:rsid w:val="004C1639"/>
    <w:rsid w:val="004F2605"/>
    <w:rsid w:val="004F37FD"/>
    <w:rsid w:val="004F77C4"/>
    <w:rsid w:val="0051282F"/>
    <w:rsid w:val="00545FAE"/>
    <w:rsid w:val="005649F6"/>
    <w:rsid w:val="00573BFD"/>
    <w:rsid w:val="005776FA"/>
    <w:rsid w:val="0058513F"/>
    <w:rsid w:val="005960A2"/>
    <w:rsid w:val="005E0630"/>
    <w:rsid w:val="006321CC"/>
    <w:rsid w:val="006377A9"/>
    <w:rsid w:val="006560B6"/>
    <w:rsid w:val="00677240"/>
    <w:rsid w:val="00682636"/>
    <w:rsid w:val="0069654A"/>
    <w:rsid w:val="006967E2"/>
    <w:rsid w:val="006B22F3"/>
    <w:rsid w:val="006C35A4"/>
    <w:rsid w:val="006C53F3"/>
    <w:rsid w:val="006E1634"/>
    <w:rsid w:val="006F5911"/>
    <w:rsid w:val="00727B86"/>
    <w:rsid w:val="007D5A63"/>
    <w:rsid w:val="007E7F95"/>
    <w:rsid w:val="00874D51"/>
    <w:rsid w:val="00891B35"/>
    <w:rsid w:val="009025A5"/>
    <w:rsid w:val="0091756F"/>
    <w:rsid w:val="00935D24"/>
    <w:rsid w:val="0094439B"/>
    <w:rsid w:val="0096038A"/>
    <w:rsid w:val="00993FD9"/>
    <w:rsid w:val="009B45DB"/>
    <w:rsid w:val="009D58A7"/>
    <w:rsid w:val="009E6D04"/>
    <w:rsid w:val="009F3B51"/>
    <w:rsid w:val="009F63B1"/>
    <w:rsid w:val="00A131DF"/>
    <w:rsid w:val="00A146C8"/>
    <w:rsid w:val="00B81DD3"/>
    <w:rsid w:val="00BA4C1E"/>
    <w:rsid w:val="00BB0C2A"/>
    <w:rsid w:val="00BB0F07"/>
    <w:rsid w:val="00BB5A81"/>
    <w:rsid w:val="00C10A8D"/>
    <w:rsid w:val="00C13FA6"/>
    <w:rsid w:val="00C25B2C"/>
    <w:rsid w:val="00C571AD"/>
    <w:rsid w:val="00C85874"/>
    <w:rsid w:val="00C919F2"/>
    <w:rsid w:val="00CA2677"/>
    <w:rsid w:val="00CA6E16"/>
    <w:rsid w:val="00CC0AF4"/>
    <w:rsid w:val="00CC0CE7"/>
    <w:rsid w:val="00D10630"/>
    <w:rsid w:val="00D265BA"/>
    <w:rsid w:val="00D3263C"/>
    <w:rsid w:val="00D33455"/>
    <w:rsid w:val="00D33DC1"/>
    <w:rsid w:val="00D40527"/>
    <w:rsid w:val="00D6243B"/>
    <w:rsid w:val="00D70A3E"/>
    <w:rsid w:val="00D77940"/>
    <w:rsid w:val="00DB2CF7"/>
    <w:rsid w:val="00DC4588"/>
    <w:rsid w:val="00DC4EA5"/>
    <w:rsid w:val="00DC62AA"/>
    <w:rsid w:val="00DF4062"/>
    <w:rsid w:val="00E05787"/>
    <w:rsid w:val="00E1686B"/>
    <w:rsid w:val="00E70A23"/>
    <w:rsid w:val="00E77696"/>
    <w:rsid w:val="00E7791E"/>
    <w:rsid w:val="00E97119"/>
    <w:rsid w:val="00EB0EAC"/>
    <w:rsid w:val="00EB386D"/>
    <w:rsid w:val="00EE405D"/>
    <w:rsid w:val="00EF71FE"/>
    <w:rsid w:val="00F02F16"/>
    <w:rsid w:val="00F10AFA"/>
    <w:rsid w:val="00FC0C58"/>
    <w:rsid w:val="00FF0196"/>
    <w:rsid w:val="00FF22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54090D0"/>
  <w15:docId w15:val="{9D406D24-A63C-4D2A-B5B3-0EBB41B5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CF7"/>
    <w:rPr>
      <w:lang w:eastAsia="en-US"/>
    </w:rPr>
  </w:style>
  <w:style w:type="paragraph" w:styleId="Heading1">
    <w:name w:val="heading 1"/>
    <w:basedOn w:val="Normal"/>
    <w:next w:val="Normal"/>
    <w:link w:val="Heading1Char"/>
    <w:uiPriority w:val="9"/>
    <w:qFormat/>
    <w:rsid w:val="00BB0F07"/>
    <w:pPr>
      <w:autoSpaceDE w:val="0"/>
      <w:autoSpaceDN w:val="0"/>
      <w:adjustRightInd w:val="0"/>
      <w:spacing w:after="240"/>
      <w:outlineLvl w:val="0"/>
    </w:pPr>
    <w:rPr>
      <w:rFonts w:ascii="Tahoma" w:eastAsiaTheme="minorHAnsi" w:hAnsi="Tahoma"/>
      <w:b/>
      <w:noProof/>
      <w:sz w:val="32"/>
      <w:szCs w:val="32"/>
    </w:rPr>
  </w:style>
  <w:style w:type="paragraph" w:styleId="Heading2">
    <w:name w:val="heading 2"/>
    <w:basedOn w:val="Normal"/>
    <w:next w:val="Normal"/>
    <w:link w:val="Heading2Char"/>
    <w:uiPriority w:val="9"/>
    <w:unhideWhenUsed/>
    <w:qFormat/>
    <w:rsid w:val="006E1634"/>
    <w:pPr>
      <w:autoSpaceDE w:val="0"/>
      <w:autoSpaceDN w:val="0"/>
      <w:adjustRightInd w:val="0"/>
      <w:spacing w:after="240"/>
      <w:outlineLvl w:val="1"/>
    </w:pPr>
    <w:rPr>
      <w:rFonts w:ascii="Tahoma" w:eastAsiaTheme="minorHAnsi" w:hAnsi="Tahoma"/>
      <w:b/>
      <w:color w:val="000000"/>
      <w:szCs w:val="26"/>
    </w:rPr>
  </w:style>
  <w:style w:type="paragraph" w:styleId="Heading3">
    <w:name w:val="heading 3"/>
    <w:basedOn w:val="Heading1"/>
    <w:next w:val="Normal"/>
    <w:link w:val="Heading3Char"/>
    <w:rsid w:val="00DB2CF7"/>
    <w:pPr>
      <w:keepNext/>
      <w:keepLines/>
      <w:spacing w:before="200"/>
      <w:outlineLvl w:val="2"/>
    </w:pPr>
    <w:rPr>
      <w:rFonts w:eastAsiaTheme="majorEastAsia" w:cstheme="majorBidi"/>
      <w:b w:val="0"/>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5A4"/>
    <w:pPr>
      <w:pBdr>
        <w:bottom w:val="single" w:sz="2" w:space="1" w:color="1F497D" w:themeColor="text2"/>
      </w:pBdr>
      <w:tabs>
        <w:tab w:val="right" w:pos="9360"/>
      </w:tabs>
      <w:spacing w:after="240"/>
    </w:pPr>
    <w:rPr>
      <w:rFonts w:ascii="Tahoma" w:hAnsi="Tahoma"/>
      <w:b/>
      <w:sz w:val="20"/>
    </w:rPr>
  </w:style>
  <w:style w:type="character" w:customStyle="1" w:styleId="HeaderChar">
    <w:name w:val="Header Char"/>
    <w:basedOn w:val="DefaultParagraphFont"/>
    <w:link w:val="Header"/>
    <w:uiPriority w:val="99"/>
    <w:rsid w:val="006C35A4"/>
    <w:rPr>
      <w:rFonts w:ascii="Tahoma" w:hAnsi="Tahoma"/>
      <w:b/>
      <w:sz w:val="20"/>
      <w:lang w:eastAsia="en-US"/>
    </w:rPr>
  </w:style>
  <w:style w:type="paragraph" w:styleId="Footer">
    <w:name w:val="footer"/>
    <w:basedOn w:val="Normal"/>
    <w:link w:val="FooterChar"/>
    <w:uiPriority w:val="99"/>
    <w:unhideWhenUsed/>
    <w:rsid w:val="00C919F2"/>
    <w:pPr>
      <w:pBdr>
        <w:right w:val="single" w:sz="24" w:space="4" w:color="1F497D" w:themeColor="text2"/>
      </w:pBdr>
      <w:tabs>
        <w:tab w:val="center" w:pos="4320"/>
        <w:tab w:val="right" w:pos="8640"/>
      </w:tabs>
      <w:spacing w:before="240" w:after="240"/>
      <w:ind w:right="720"/>
      <w:contextualSpacing/>
      <w:jc w:val="right"/>
    </w:pPr>
    <w:rPr>
      <w:rFonts w:ascii="Tahoma" w:hAnsi="Tahoma"/>
      <w:sz w:val="20"/>
    </w:rPr>
  </w:style>
  <w:style w:type="character" w:customStyle="1" w:styleId="FooterChar">
    <w:name w:val="Footer Char"/>
    <w:basedOn w:val="DefaultParagraphFont"/>
    <w:link w:val="Footer"/>
    <w:uiPriority w:val="99"/>
    <w:rsid w:val="00C919F2"/>
    <w:rPr>
      <w:rFonts w:ascii="Tahoma" w:hAnsi="Tahoma"/>
      <w:sz w:val="20"/>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styleId="BlockText">
    <w:name w:val="Block Text"/>
    <w:basedOn w:val="Normal"/>
    <w:rsid w:val="006E163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hAnsiTheme="minorHAnsi" w:cstheme="minorBidi"/>
      <w:i/>
      <w:iCs/>
      <w:color w:val="4F81BD" w:themeColor="accent1"/>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b/>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BB0F07"/>
    <w:rPr>
      <w:rFonts w:ascii="Tahoma" w:eastAsiaTheme="minorHAnsi" w:hAnsi="Tahoma"/>
      <w:b/>
      <w:noProof/>
      <w:sz w:val="32"/>
      <w:szCs w:val="32"/>
      <w:lang w:eastAsia="en-US"/>
    </w:rPr>
  </w:style>
  <w:style w:type="character" w:customStyle="1" w:styleId="Heading2Char">
    <w:name w:val="Heading 2 Char"/>
    <w:basedOn w:val="DefaultParagraphFont"/>
    <w:link w:val="Heading2"/>
    <w:uiPriority w:val="9"/>
    <w:rsid w:val="006E1634"/>
    <w:rPr>
      <w:rFonts w:ascii="Tahoma" w:eastAsiaTheme="minorHAnsi" w:hAnsi="Tahoma"/>
      <w:b/>
      <w:color w:val="000000"/>
      <w:szCs w:val="26"/>
      <w:lang w:eastAsia="en-US"/>
    </w:rPr>
  </w:style>
  <w:style w:type="character" w:styleId="Hyperlink">
    <w:name w:val="Hyperlink"/>
    <w:basedOn w:val="DefaultParagraphFont"/>
    <w:uiPriority w:val="99"/>
    <w:unhideWhenUsed/>
    <w:rsid w:val="004B766C"/>
    <w:rPr>
      <w:color w:val="0000FF" w:themeColor="hyperlink"/>
      <w:u w:val="single"/>
    </w:rPr>
  </w:style>
  <w:style w:type="table" w:styleId="TableGrid">
    <w:name w:val="Table Grid"/>
    <w:basedOn w:val="TableNormal"/>
    <w:uiPriority w:val="59"/>
    <w:rsid w:val="004B766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rsid w:val="006C35A4"/>
    <w:pPr>
      <w:pBdr>
        <w:bottom w:val="single" w:sz="8" w:space="4" w:color="4F81BD" w:themeColor="accent1"/>
      </w:pBdr>
      <w:spacing w:before="1440"/>
      <w:contextualSpacing/>
      <w:jc w:val="center"/>
    </w:pPr>
    <w:rPr>
      <w:rFonts w:ascii="Tahoma" w:eastAsiaTheme="majorEastAsia" w:hAnsi="Tahoma" w:cstheme="majorBidi"/>
      <w:spacing w:val="5"/>
      <w:kern w:val="28"/>
      <w:sz w:val="52"/>
      <w:szCs w:val="52"/>
    </w:rPr>
  </w:style>
  <w:style w:type="character" w:customStyle="1" w:styleId="TitleChar">
    <w:name w:val="Title Char"/>
    <w:basedOn w:val="DefaultParagraphFont"/>
    <w:link w:val="Title"/>
    <w:rsid w:val="006C35A4"/>
    <w:rPr>
      <w:rFonts w:ascii="Tahoma" w:eastAsiaTheme="majorEastAsia" w:hAnsi="Tahoma" w:cstheme="majorBidi"/>
      <w:spacing w:val="5"/>
      <w:kern w:val="28"/>
      <w:sz w:val="52"/>
      <w:szCs w:val="52"/>
      <w:lang w:eastAsia="en-US"/>
    </w:rPr>
  </w:style>
  <w:style w:type="paragraph" w:styleId="Subtitle">
    <w:name w:val="Subtitle"/>
    <w:basedOn w:val="Normal"/>
    <w:next w:val="Normal"/>
    <w:link w:val="SubtitleChar"/>
    <w:uiPriority w:val="11"/>
    <w:qFormat/>
    <w:rsid w:val="00C571AD"/>
    <w:pPr>
      <w:numPr>
        <w:ilvl w:val="1"/>
      </w:numPr>
      <w:spacing w:after="240"/>
      <w:jc w:val="right"/>
    </w:pPr>
    <w:rPr>
      <w:rFonts w:ascii="Tahoma" w:eastAsiaTheme="majorEastAsia" w:hAnsi="Tahoma" w:cstheme="majorBidi"/>
      <w:i/>
      <w:iCs/>
      <w:color w:val="404040" w:themeColor="text1" w:themeTint="BF"/>
      <w:spacing w:val="15"/>
    </w:rPr>
  </w:style>
  <w:style w:type="character" w:customStyle="1" w:styleId="SubtitleChar">
    <w:name w:val="Subtitle Char"/>
    <w:basedOn w:val="DefaultParagraphFont"/>
    <w:link w:val="Subtitle"/>
    <w:uiPriority w:val="11"/>
    <w:rsid w:val="00C571AD"/>
    <w:rPr>
      <w:rFonts w:ascii="Tahoma" w:eastAsiaTheme="majorEastAsia" w:hAnsi="Tahoma" w:cstheme="majorBidi"/>
      <w:i/>
      <w:iCs/>
      <w:color w:val="404040" w:themeColor="text1" w:themeTint="BF"/>
      <w:spacing w:val="15"/>
      <w:lang w:eastAsia="en-US"/>
    </w:rPr>
  </w:style>
  <w:style w:type="paragraph" w:styleId="BodyText">
    <w:name w:val="Body Text"/>
    <w:basedOn w:val="Normal"/>
    <w:link w:val="BodyTextChar"/>
    <w:unhideWhenUsed/>
    <w:qFormat/>
    <w:rsid w:val="006E1634"/>
    <w:pPr>
      <w:spacing w:after="240"/>
    </w:pPr>
    <w:rPr>
      <w:rFonts w:ascii="Tahoma" w:hAnsi="Tahoma"/>
    </w:rPr>
  </w:style>
  <w:style w:type="character" w:customStyle="1" w:styleId="BodyTextChar">
    <w:name w:val="Body Text Char"/>
    <w:basedOn w:val="DefaultParagraphFont"/>
    <w:link w:val="BodyText"/>
    <w:rsid w:val="006E1634"/>
    <w:rPr>
      <w:rFonts w:ascii="Tahoma" w:hAnsi="Tahoma"/>
      <w:lang w:eastAsia="en-US"/>
    </w:rPr>
  </w:style>
  <w:style w:type="paragraph" w:styleId="BodyText2">
    <w:name w:val="Body Text 2"/>
    <w:basedOn w:val="Normal"/>
    <w:link w:val="BodyText2Char"/>
    <w:unhideWhenUsed/>
    <w:rsid w:val="006E1634"/>
    <w:pPr>
      <w:spacing w:after="120"/>
      <w:contextualSpacing/>
    </w:pPr>
    <w:rPr>
      <w:rFonts w:ascii="Tahoma" w:hAnsi="Tahoma"/>
    </w:rPr>
  </w:style>
  <w:style w:type="character" w:customStyle="1" w:styleId="BodyText2Char">
    <w:name w:val="Body Text 2 Char"/>
    <w:basedOn w:val="DefaultParagraphFont"/>
    <w:link w:val="BodyText2"/>
    <w:rsid w:val="006E1634"/>
    <w:rPr>
      <w:rFonts w:ascii="Tahoma" w:hAnsi="Tahoma"/>
      <w:lang w:eastAsia="en-US"/>
    </w:rPr>
  </w:style>
  <w:style w:type="character" w:styleId="Emphasis">
    <w:name w:val="Emphasis"/>
    <w:basedOn w:val="DefaultParagraphFont"/>
    <w:rsid w:val="00C571AD"/>
    <w:rPr>
      <w:rFonts w:ascii="Tahoma" w:hAnsi="Tahoma"/>
      <w:b/>
      <w:i w:val="0"/>
      <w:iCs/>
      <w:sz w:val="24"/>
      <w:u w:val="single"/>
    </w:rPr>
  </w:style>
  <w:style w:type="paragraph" w:customStyle="1" w:styleId="FactSheetContact">
    <w:name w:val="FactSheet Contact"/>
    <w:basedOn w:val="Normal"/>
    <w:qFormat/>
    <w:rsid w:val="00C571AD"/>
    <w:pPr>
      <w:keepLines/>
      <w:tabs>
        <w:tab w:val="left" w:pos="1080"/>
      </w:tabs>
      <w:autoSpaceDE w:val="0"/>
      <w:autoSpaceDN w:val="0"/>
      <w:adjustRightInd w:val="0"/>
      <w:spacing w:after="240"/>
      <w:contextualSpacing/>
    </w:pPr>
    <w:rPr>
      <w:rFonts w:ascii="Tahoma" w:eastAsia="Calibri" w:hAnsi="Tahoma" w:cs="Arial"/>
      <w:color w:val="000000" w:themeColor="text1"/>
      <w:szCs w:val="22"/>
    </w:rPr>
  </w:style>
  <w:style w:type="paragraph" w:styleId="ListBullet">
    <w:name w:val="List Bullet"/>
    <w:basedOn w:val="Normal"/>
    <w:unhideWhenUsed/>
    <w:rsid w:val="006E1634"/>
    <w:pPr>
      <w:numPr>
        <w:numId w:val="1"/>
      </w:numPr>
      <w:spacing w:after="240"/>
      <w:contextualSpacing/>
    </w:pPr>
    <w:rPr>
      <w:rFonts w:ascii="Tahoma" w:hAnsi="Tahoma"/>
    </w:rPr>
  </w:style>
  <w:style w:type="paragraph" w:styleId="ListBullet2">
    <w:name w:val="List Bullet 2"/>
    <w:basedOn w:val="Normal"/>
    <w:unhideWhenUsed/>
    <w:rsid w:val="006E1634"/>
    <w:pPr>
      <w:numPr>
        <w:numId w:val="2"/>
      </w:numPr>
      <w:spacing w:after="240"/>
      <w:contextualSpacing/>
    </w:pPr>
    <w:rPr>
      <w:rFonts w:ascii="Tahoma" w:hAnsi="Tahoma"/>
    </w:rPr>
  </w:style>
  <w:style w:type="character" w:styleId="CommentReference">
    <w:name w:val="annotation reference"/>
    <w:basedOn w:val="DefaultParagraphFont"/>
    <w:uiPriority w:val="99"/>
    <w:semiHidden/>
    <w:unhideWhenUsed/>
    <w:rsid w:val="00EB386D"/>
    <w:rPr>
      <w:sz w:val="16"/>
      <w:szCs w:val="16"/>
    </w:rPr>
  </w:style>
  <w:style w:type="paragraph" w:styleId="CommentText">
    <w:name w:val="annotation text"/>
    <w:basedOn w:val="Normal"/>
    <w:link w:val="CommentTextChar"/>
    <w:semiHidden/>
    <w:unhideWhenUsed/>
    <w:rsid w:val="00EB386D"/>
    <w:rPr>
      <w:sz w:val="20"/>
      <w:szCs w:val="20"/>
    </w:rPr>
  </w:style>
  <w:style w:type="character" w:customStyle="1" w:styleId="CommentTextChar">
    <w:name w:val="Comment Text Char"/>
    <w:basedOn w:val="DefaultParagraphFont"/>
    <w:link w:val="CommentText"/>
    <w:semiHidden/>
    <w:rsid w:val="00EB386D"/>
    <w:rPr>
      <w:sz w:val="20"/>
      <w:szCs w:val="20"/>
      <w:lang w:eastAsia="en-US"/>
    </w:rPr>
  </w:style>
  <w:style w:type="paragraph" w:styleId="CommentSubject">
    <w:name w:val="annotation subject"/>
    <w:basedOn w:val="CommentText"/>
    <w:next w:val="CommentText"/>
    <w:link w:val="CommentSubjectChar"/>
    <w:semiHidden/>
    <w:unhideWhenUsed/>
    <w:rsid w:val="00EB386D"/>
    <w:rPr>
      <w:b/>
      <w:bCs/>
    </w:rPr>
  </w:style>
  <w:style w:type="character" w:customStyle="1" w:styleId="CommentSubjectChar">
    <w:name w:val="Comment Subject Char"/>
    <w:basedOn w:val="CommentTextChar"/>
    <w:link w:val="CommentSubject"/>
    <w:semiHidden/>
    <w:rsid w:val="00EB386D"/>
    <w:rPr>
      <w:b/>
      <w:bCs/>
      <w:sz w:val="20"/>
      <w:szCs w:val="20"/>
      <w:lang w:eastAsia="en-US"/>
    </w:rPr>
  </w:style>
  <w:style w:type="character" w:customStyle="1" w:styleId="Heading3Char">
    <w:name w:val="Heading 3 Char"/>
    <w:basedOn w:val="DefaultParagraphFont"/>
    <w:link w:val="Heading3"/>
    <w:rsid w:val="00DB2CF7"/>
    <w:rPr>
      <w:rFonts w:ascii="Tahoma" w:eastAsiaTheme="majorEastAsia" w:hAnsi="Tahoma" w:cstheme="majorBidi"/>
      <w:bCs/>
      <w:noProof/>
      <w:szCs w:val="32"/>
      <w:u w:val="single"/>
      <w:lang w:eastAsia="en-US"/>
    </w:rPr>
  </w:style>
  <w:style w:type="paragraph" w:styleId="BodyText3">
    <w:name w:val="Body Text 3"/>
    <w:basedOn w:val="BodyText"/>
    <w:link w:val="BodyText3Char"/>
    <w:unhideWhenUsed/>
    <w:rsid w:val="00DB2CF7"/>
    <w:rPr>
      <w:szCs w:val="16"/>
    </w:rPr>
  </w:style>
  <w:style w:type="character" w:customStyle="1" w:styleId="BodyText3Char">
    <w:name w:val="Body Text 3 Char"/>
    <w:basedOn w:val="DefaultParagraphFont"/>
    <w:link w:val="BodyText3"/>
    <w:rsid w:val="00DB2CF7"/>
    <w:rPr>
      <w:rFonts w:ascii="Tahoma" w:hAnsi="Tahoma"/>
      <w:szCs w:val="16"/>
      <w:lang w:eastAsia="en-US"/>
    </w:rPr>
  </w:style>
  <w:style w:type="character" w:customStyle="1" w:styleId="UnresolvedMention1">
    <w:name w:val="Unresolved Mention1"/>
    <w:basedOn w:val="DefaultParagraphFont"/>
    <w:uiPriority w:val="99"/>
    <w:semiHidden/>
    <w:unhideWhenUsed/>
    <w:rsid w:val="00481E76"/>
    <w:rPr>
      <w:color w:val="808080"/>
      <w:shd w:val="clear" w:color="auto" w:fill="E6E6E6"/>
    </w:rPr>
  </w:style>
  <w:style w:type="character" w:styleId="FollowedHyperlink">
    <w:name w:val="FollowedHyperlink"/>
    <w:basedOn w:val="DefaultParagraphFont"/>
    <w:unhideWhenUsed/>
    <w:rsid w:val="00993F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78042214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hms.com/wp-content/uploads/2017/07/CO-RAC-FAQs.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ms.com/us/co-providers/hom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colorado.gov/pacific/hcpf/recovery-audit-contractor-rac-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69C82552416F4D9E145593EF3D7295" ma:contentTypeVersion="9" ma:contentTypeDescription="Create a new document." ma:contentTypeScope="" ma:versionID="a0891e5e18bde4bf566a0aa12be826e8">
  <xsd:schema xmlns:xsd="http://www.w3.org/2001/XMLSchema" xmlns:xs="http://www.w3.org/2001/XMLSchema" xmlns:p="http://schemas.microsoft.com/office/2006/metadata/properties" xmlns:ns2="7be5fa6b-4cc0-49a8-b234-97f651d692ff" xmlns:ns3="c1838ce2-6575-4952-b4b0-afa742a1bf4a" targetNamespace="http://schemas.microsoft.com/office/2006/metadata/properties" ma:root="true" ma:fieldsID="154552dbd0fed14f2015923b8019dcf1" ns2:_="" ns3:_="">
    <xsd:import namespace="7be5fa6b-4cc0-49a8-b234-97f651d692ff"/>
    <xsd:import namespace="c1838ce2-6575-4952-b4b0-afa742a1bf4a"/>
    <xsd:element name="properties">
      <xsd:complexType>
        <xsd:sequence>
          <xsd:element name="documentManagement">
            <xsd:complexType>
              <xsd:all>
                <xsd:element ref="ns2:Instructions" minOccurs="0"/>
                <xsd:element ref="ns2:Audience" minOccurs="0"/>
                <xsd:element ref="ns2:Template"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5fa6b-4cc0-49a8-b234-97f651d692ff" elementFormDefault="qualified">
    <xsd:import namespace="http://schemas.microsoft.com/office/2006/documentManagement/types"/>
    <xsd:import namespace="http://schemas.microsoft.com/office/infopath/2007/PartnerControls"/>
    <xsd:element name="Instructions" ma:index="8" nillable="true" ma:displayName="Instructions" ma:internalName="Instructions">
      <xsd:simpleType>
        <xsd:restriction base="dms:Note">
          <xsd:maxLength value="255"/>
        </xsd:restriction>
      </xsd:simpleType>
    </xsd:element>
    <xsd:element name="Audience" ma:index="9" nillable="true" ma:displayName="Audience" ma:default="Internal" ma:format="Dropdown" ma:internalName="Audience">
      <xsd:simpleType>
        <xsd:union memberTypes="dms:Text">
          <xsd:simpleType>
            <xsd:restriction base="dms:Choice">
              <xsd:enumeration value="Internal"/>
              <xsd:enumeration value="External"/>
            </xsd:restriction>
          </xsd:simpleType>
        </xsd:union>
      </xsd:simpleType>
    </xsd:element>
    <xsd:element name="Template" ma:index="10" nillable="true" ma:displayName="Template" ma:internalName="Template">
      <xsd:simpleType>
        <xsd:restriction base="dms:Text">
          <xsd:maxLength value="255"/>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1838ce2-6575-4952-b4b0-afa742a1bf4a" elementFormDefault="qualified">
    <xsd:import namespace="http://schemas.microsoft.com/office/2006/documentManagement/types"/>
    <xsd:import namespace="http://schemas.microsoft.com/office/infopath/2007/PartnerControls"/>
    <xsd:element name="SharedWithUsers" ma:index="11"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format="DateTim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structions xmlns="7be5fa6b-4cc0-49a8-b234-97f651d692ff" xsi:nil="true"/>
    <Audience xmlns="7be5fa6b-4cc0-49a8-b234-97f651d692ff" xsi:nil="true"/>
    <Template xmlns="7be5fa6b-4cc0-49a8-b234-97f651d692ff">Fact Sheets and FAQs</Templ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2B0A15-DA8E-44C4-B133-49A5FE4B0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5fa6b-4cc0-49a8-b234-97f651d692ff"/>
    <ds:schemaRef ds:uri="c1838ce2-6575-4952-b4b0-afa742a1b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00F24-ADA6-4B86-B1C0-8A7A9FC4616C}">
  <ds:schemaRefs>
    <ds:schemaRef ds:uri="http://schemas.microsoft.com/office/2006/metadata/properties"/>
    <ds:schemaRef ds:uri="http://schemas.microsoft.com/office/infopath/2007/PartnerControls"/>
    <ds:schemaRef ds:uri="7be5fa6b-4cc0-49a8-b234-97f651d692ff"/>
  </ds:schemaRefs>
</ds:datastoreItem>
</file>

<file path=customXml/itemProps3.xml><?xml version="1.0" encoding="utf-8"?>
<ds:datastoreItem xmlns:ds="http://schemas.openxmlformats.org/officeDocument/2006/customXml" ds:itemID="{9BB50957-AF0B-4DF5-8D59-0226B6D40E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Fact Sheet Template</vt:lpstr>
    </vt:vector>
  </TitlesOfParts>
  <Manager>Douglas, Bob</Manager>
  <Company>Colorado Department of Health Care Policy and Financing</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dc:title>
  <dc:subject>Enter Program or Service</dc:subject>
  <dc:creator>Bloem, Barbara</dc:creator>
  <cp:keywords>fact sheet, program, service</cp:keywords>
  <cp:lastModifiedBy>Gilger, Alyssa</cp:lastModifiedBy>
  <cp:revision>7</cp:revision>
  <cp:lastPrinted>2014-03-26T20:55:00Z</cp:lastPrinted>
  <dcterms:created xsi:type="dcterms:W3CDTF">2020-11-25T13:29:00Z</dcterms:created>
  <dcterms:modified xsi:type="dcterms:W3CDTF">2021-12-08T00:23:00Z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0x010100BE69C82552416F4D9E145593EF3D7295</vt:lpwstr>
  </property>
</Properties>
</file>